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tabs>
          <w:tab w:val="left" w:pos="1440"/>
        </w:tabs>
        <w:spacing w:line="288" w:lineRule="auto"/>
        <w:jc w:val="center"/>
        <w:rPr>
          <w:rFonts w:ascii="Helvetica Neue" w:hAnsi="Helvetica Neue"/>
          <w:b w:val="1"/>
          <w:bCs w:val="1"/>
          <w:color w:val="002c9d"/>
          <w:sz w:val="24"/>
          <w:szCs w:val="24"/>
          <w:u w:color="002c9d"/>
        </w:rPr>
      </w:pPr>
    </w:p>
    <w:p>
      <w:pPr>
        <w:pStyle w:val="Standard"/>
        <w:tabs>
          <w:tab w:val="left" w:pos="1440"/>
        </w:tabs>
        <w:spacing w:line="288" w:lineRule="auto"/>
        <w:rPr>
          <w:rFonts w:ascii="Arial" w:cs="Arial" w:hAnsi="Arial" w:eastAsia="Arial"/>
          <w:color w:val="002c9d"/>
          <w:sz w:val="20"/>
          <w:szCs w:val="20"/>
          <w:u w:color="002c9d"/>
        </w:rPr>
      </w:pPr>
      <w:r>
        <w:rPr>
          <w:rFonts w:ascii="Arial" w:hAnsi="Arial"/>
          <w:b w:val="1"/>
          <w:bCs w:val="1"/>
          <w:color w:val="002c9d"/>
          <w:sz w:val="20"/>
          <w:szCs w:val="20"/>
          <w:u w:color="002c9d"/>
          <w:rtl w:val="0"/>
        </w:rPr>
        <w:t>Kontakt:</w:t>
      </w:r>
      <w:r>
        <w:rPr>
          <w:rFonts w:ascii="Arial Unicode MS" w:cs="Arial Unicode MS" w:hAnsi="Arial Unicode MS" w:eastAsia="Arial Unicode MS"/>
          <w:color w:val="002c9d"/>
          <w:sz w:val="20"/>
          <w:szCs w:val="20"/>
          <w:u w:color="002c9d"/>
        </w:rPr>
        <w:tab/>
      </w:r>
      <w:r>
        <w:rPr>
          <w:rFonts w:ascii="Arial Unicode MS" w:hAnsi="Arial Unicode MS"/>
          <w:color w:val="002c9d"/>
          <w:sz w:val="20"/>
          <w:szCs w:val="20"/>
          <w:u w:color="002c9d"/>
          <w:rtl w:val="0"/>
          <w:lang w:val="de-DE"/>
        </w:rPr>
        <w:t xml:space="preserve">IQVIA - </w:t>
      </w:r>
      <w:r>
        <w:rPr>
          <w:rFonts w:ascii="Arial" w:hAnsi="Arial"/>
          <w:color w:val="002c9d"/>
          <w:sz w:val="20"/>
          <w:szCs w:val="20"/>
          <w:u w:color="002c9d"/>
          <w:rtl w:val="0"/>
          <w:lang w:val="en-US"/>
        </w:rPr>
        <w:t xml:space="preserve">Mag. Alexander Till, Manager Marketing and Communications </w:t>
      </w:r>
    </w:p>
    <w:p>
      <w:pPr>
        <w:pStyle w:val="Standard"/>
        <w:tabs>
          <w:tab w:val="left" w:pos="1440"/>
        </w:tabs>
        <w:spacing w:line="288" w:lineRule="auto"/>
        <w:rPr>
          <w:rFonts w:ascii="Arial" w:cs="Arial" w:hAnsi="Arial" w:eastAsia="Arial"/>
          <w:color w:val="002c9d"/>
          <w:sz w:val="20"/>
          <w:szCs w:val="20"/>
          <w:u w:color="002c9d"/>
        </w:rPr>
      </w:pPr>
      <w:r>
        <w:rPr>
          <w:rFonts w:ascii="Arial" w:cs="Arial" w:hAnsi="Arial" w:eastAsia="Arial"/>
          <w:color w:val="002c9d"/>
          <w:sz w:val="20"/>
          <w:szCs w:val="20"/>
          <w:u w:color="002c9d"/>
          <w:rtl w:val="0"/>
          <w:lang w:val="pt-PT"/>
        </w:rPr>
        <w:tab/>
        <w:t>alexander.till@iqvia.com, +43 (0) 664 80002 321</w:t>
      </w:r>
    </w:p>
    <w:p>
      <w:pPr>
        <w:pStyle w:val="Standard"/>
        <w:tabs>
          <w:tab w:val="left" w:pos="1440"/>
        </w:tabs>
        <w:spacing w:line="288" w:lineRule="auto"/>
        <w:jc w:val="center"/>
        <w:rPr>
          <w:rFonts w:ascii="Helvetica Neue" w:cs="Helvetica Neue" w:hAnsi="Helvetica Neue" w:eastAsia="Helvetica Neue"/>
          <w:b w:val="1"/>
          <w:bCs w:val="1"/>
          <w:color w:val="002c9d"/>
          <w:sz w:val="24"/>
          <w:szCs w:val="24"/>
          <w:u w:color="002c9d"/>
        </w:rPr>
      </w:pPr>
    </w:p>
    <w:p>
      <w:pPr>
        <w:pStyle w:val="Standard"/>
        <w:tabs>
          <w:tab w:val="left" w:pos="1440"/>
        </w:tabs>
        <w:spacing w:line="288" w:lineRule="auto"/>
        <w:jc w:val="center"/>
        <w:rPr>
          <w:rFonts w:ascii="Helvetica Neue" w:cs="Helvetica Neue" w:hAnsi="Helvetica Neue" w:eastAsia="Helvetica Neue"/>
          <w:b w:val="1"/>
          <w:bCs w:val="1"/>
          <w:color w:val="002c9d"/>
          <w:sz w:val="24"/>
          <w:szCs w:val="24"/>
          <w:u w:color="002c9d"/>
        </w:rPr>
      </w:pPr>
    </w:p>
    <w:p>
      <w:pPr>
        <w:pStyle w:val="Standard"/>
        <w:tabs>
          <w:tab w:val="left" w:pos="1440"/>
        </w:tabs>
        <w:spacing w:line="288" w:lineRule="auto"/>
        <w:jc w:val="center"/>
        <w:rPr>
          <w:rFonts w:ascii="Helvetica Neue" w:cs="Helvetica Neue" w:hAnsi="Helvetica Neue" w:eastAsia="Helvetica Neue"/>
          <w:b w:val="1"/>
          <w:bCs w:val="1"/>
          <w:color w:val="002c9d"/>
          <w:sz w:val="24"/>
          <w:szCs w:val="24"/>
          <w:u w:color="002c9d"/>
        </w:rPr>
      </w:pPr>
    </w:p>
    <w:p>
      <w:pPr>
        <w:pStyle w:val="Standard"/>
        <w:tabs>
          <w:tab w:val="left" w:pos="1440"/>
        </w:tabs>
        <w:spacing w:line="288" w:lineRule="auto"/>
        <w:jc w:val="center"/>
        <w:rPr>
          <w:rFonts w:ascii="Helvetica Neue" w:cs="Helvetica Neue" w:hAnsi="Helvetica Neue" w:eastAsia="Helvetica Neue"/>
          <w:b w:val="1"/>
          <w:bCs w:val="1"/>
          <w:color w:val="002c9d"/>
          <w:sz w:val="24"/>
          <w:szCs w:val="24"/>
          <w:u w:color="002c9d"/>
        </w:rPr>
      </w:pPr>
    </w:p>
    <w:p>
      <w:pPr>
        <w:pStyle w:val="Standard"/>
        <w:tabs>
          <w:tab w:val="left" w:pos="1440"/>
        </w:tabs>
        <w:spacing w:line="288" w:lineRule="auto"/>
        <w:jc w:val="center"/>
        <w:rPr>
          <w:rFonts w:ascii="Arial" w:cs="Arial" w:hAnsi="Arial" w:eastAsia="Arial"/>
          <w:b w:val="1"/>
          <w:bCs w:val="1"/>
          <w:color w:val="002c9d"/>
          <w:sz w:val="24"/>
          <w:szCs w:val="24"/>
          <w:u w:color="002c9d"/>
        </w:rPr>
      </w:pPr>
      <w:r>
        <w:rPr>
          <w:rFonts w:ascii="Arial" w:hAnsi="Arial"/>
          <w:b w:val="1"/>
          <w:bCs w:val="1"/>
          <w:color w:val="002c9d"/>
          <w:sz w:val="24"/>
          <w:szCs w:val="24"/>
          <w:u w:color="002c9d"/>
          <w:rtl w:val="0"/>
          <w:lang w:val="de-DE"/>
        </w:rPr>
        <w:t xml:space="preserve">Auswirkungen der </w:t>
      </w:r>
      <w:r>
        <w:rPr>
          <w:rFonts w:ascii="Arial" w:hAnsi="Arial" w:hint="default"/>
          <w:b w:val="1"/>
          <w:bCs w:val="1"/>
          <w:color w:val="002c9d"/>
          <w:sz w:val="24"/>
          <w:szCs w:val="24"/>
          <w:u w:color="002c9d"/>
          <w:rtl w:val="0"/>
        </w:rPr>
        <w:t>„</w:t>
      </w:r>
      <w:r>
        <w:rPr>
          <w:rFonts w:ascii="Arial" w:hAnsi="Arial"/>
          <w:b w:val="1"/>
          <w:bCs w:val="1"/>
          <w:color w:val="002c9d"/>
          <w:sz w:val="24"/>
          <w:szCs w:val="24"/>
          <w:u w:color="002c9d"/>
          <w:rtl w:val="0"/>
          <w:lang w:val="de-DE"/>
        </w:rPr>
        <w:t>Preisband</w:t>
      </w:r>
      <w:r>
        <w:rPr>
          <w:rFonts w:ascii="Arial" w:hAnsi="Arial" w:hint="default"/>
          <w:b w:val="1"/>
          <w:bCs w:val="1"/>
          <w:color w:val="002c9d"/>
          <w:sz w:val="24"/>
          <w:szCs w:val="24"/>
          <w:u w:color="002c9d"/>
          <w:rtl w:val="0"/>
          <w:lang w:val="de-DE"/>
        </w:rPr>
        <w:t xml:space="preserve">“ </w:t>
      </w:r>
      <w:r>
        <w:rPr>
          <w:rFonts w:ascii="Arial" w:hAnsi="Arial"/>
          <w:b w:val="1"/>
          <w:bCs w:val="1"/>
          <w:color w:val="002c9d"/>
          <w:sz w:val="24"/>
          <w:szCs w:val="24"/>
          <w:u w:color="002c9d"/>
          <w:rtl w:val="0"/>
          <w:lang w:val="fr-FR"/>
        </w:rPr>
        <w:t>ASVG Novelle</w:t>
      </w:r>
    </w:p>
    <w:p>
      <w:pPr>
        <w:pStyle w:val="Standard"/>
        <w:tabs>
          <w:tab w:val="left" w:pos="1440"/>
        </w:tabs>
        <w:spacing w:line="288" w:lineRule="auto"/>
        <w:jc w:val="center"/>
        <w:rPr>
          <w:rFonts w:ascii="Arial" w:cs="Arial" w:hAnsi="Arial" w:eastAsia="Arial"/>
          <w:b w:val="1"/>
          <w:bCs w:val="1"/>
          <w:color w:val="002c9d"/>
          <w:sz w:val="20"/>
          <w:szCs w:val="20"/>
          <w:u w:color="002c9d"/>
        </w:rPr>
      </w:pPr>
      <w:r>
        <w:rPr>
          <w:rFonts w:ascii="Arial Unicode MS" w:hAnsi="Arial Unicode MS"/>
          <w:color w:val="002c9d"/>
          <w:sz w:val="20"/>
          <w:szCs w:val="20"/>
          <w:u w:color="002c9d"/>
          <w:rtl w:val="0"/>
        </w:rPr>
        <w:t>E</w:t>
      </w: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 xml:space="preserve">ine aktuelle IQVIA-Studie untersucht die Umsatzauswirkung der letzten ASVG-Novelle </w:t>
      </w:r>
      <w:r>
        <w:rPr>
          <w:rFonts w:ascii="Arial Unicode MS" w:cs="Arial Unicode MS" w:hAnsi="Arial Unicode MS" w:eastAsia="Arial Unicode MS"/>
          <w:color w:val="002c9d"/>
          <w:sz w:val="20"/>
          <w:szCs w:val="20"/>
          <w:u w:color="002c9d"/>
        </w:rPr>
        <w:br w:type="textWrapping"/>
      </w: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>auf wirkstoffgleiche Arzneimittel und deren Referenzprodukte.</w:t>
      </w:r>
    </w:p>
    <w:p>
      <w:pPr>
        <w:pStyle w:val="Standard"/>
        <w:tabs>
          <w:tab w:val="left" w:pos="1440"/>
        </w:tabs>
        <w:spacing w:line="288" w:lineRule="auto"/>
        <w:jc w:val="center"/>
        <w:rPr>
          <w:rFonts w:ascii="Arial" w:cs="Arial" w:hAnsi="Arial" w:eastAsia="Arial"/>
          <w:b w:val="1"/>
          <w:bCs w:val="1"/>
          <w:color w:val="002c9d"/>
          <w:sz w:val="20"/>
          <w:szCs w:val="20"/>
          <w:u w:color="002c9d"/>
        </w:rPr>
      </w:pPr>
    </w:p>
    <w:p>
      <w:pPr>
        <w:pStyle w:val="Standard"/>
        <w:tabs>
          <w:tab w:val="left" w:pos="1440"/>
        </w:tabs>
        <w:spacing w:after="113" w:line="288" w:lineRule="auto"/>
        <w:rPr>
          <w:rFonts w:ascii="Arial" w:cs="Arial" w:hAnsi="Arial" w:eastAsia="Arial"/>
          <w:b w:val="1"/>
          <w:bCs w:val="1"/>
          <w:color w:val="002c9d"/>
          <w:sz w:val="20"/>
          <w:szCs w:val="20"/>
          <w:u w:color="002c9d"/>
        </w:rPr>
      </w:pPr>
    </w:p>
    <w:p>
      <w:pPr>
        <w:pStyle w:val="Standard"/>
        <w:tabs>
          <w:tab w:val="left" w:pos="1440"/>
        </w:tabs>
        <w:spacing w:after="113" w:line="288" w:lineRule="auto"/>
        <w:rPr>
          <w:rFonts w:ascii="Arial" w:cs="Arial" w:hAnsi="Arial" w:eastAsia="Arial"/>
          <w:b w:val="1"/>
          <w:bCs w:val="1"/>
          <w:color w:val="002c9d"/>
          <w:sz w:val="20"/>
          <w:szCs w:val="20"/>
          <w:u w:color="002c9d"/>
        </w:rPr>
      </w:pPr>
      <w:r>
        <w:rPr>
          <w:rFonts w:ascii="Arial" w:hAnsi="Arial"/>
          <w:b w:val="1"/>
          <w:bCs w:val="1"/>
          <w:color w:val="002c9d"/>
          <w:sz w:val="20"/>
          <w:szCs w:val="20"/>
          <w:u w:color="002c9d"/>
          <w:rtl w:val="0"/>
          <w:lang w:val="de-DE"/>
        </w:rPr>
        <w:t xml:space="preserve">Wien, 07. Dezember 2017 </w:t>
      </w:r>
    </w:p>
    <w:p>
      <w:pPr>
        <w:pStyle w:val="Standard"/>
        <w:tabs>
          <w:tab w:val="left" w:pos="1440"/>
        </w:tabs>
        <w:spacing w:line="288" w:lineRule="auto"/>
        <w:rPr>
          <w:rFonts w:ascii="Arial" w:cs="Arial" w:hAnsi="Arial" w:eastAsia="Arial"/>
          <w:color w:val="002c9d"/>
          <w:sz w:val="20"/>
          <w:szCs w:val="20"/>
          <w:u w:color="002c9d"/>
        </w:rPr>
      </w:pP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>Mit der ASVG-Novelle vom April 2017 hat der Hauptverband f</w:t>
      </w:r>
      <w:r>
        <w:rPr>
          <w:rFonts w:ascii="Arial" w:hAnsi="Arial" w:hint="default"/>
          <w:color w:val="002c9d"/>
          <w:sz w:val="20"/>
          <w:szCs w:val="20"/>
          <w:u w:color="002c9d"/>
          <w:rtl w:val="0"/>
        </w:rPr>
        <w:t>ü</w:t>
      </w: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>r Produkte, die unter die Generikapreisregel fallen, ein Band festgelegt, demnach der H</w:t>
      </w:r>
      <w:r>
        <w:rPr>
          <w:rFonts w:ascii="Arial" w:hAnsi="Arial" w:hint="default"/>
          <w:color w:val="002c9d"/>
          <w:sz w:val="20"/>
          <w:szCs w:val="20"/>
          <w:u w:color="002c9d"/>
          <w:rtl w:val="0"/>
          <w:lang w:val="sv-SE"/>
        </w:rPr>
        <w:t>ö</w:t>
      </w: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>chstpreis eines Arzneimittels maximal 30</w:t>
      </w:r>
      <w:r>
        <w:rPr>
          <w:rFonts w:ascii="Arial" w:hAnsi="Arial" w:hint="default"/>
          <w:color w:val="002c9d"/>
          <w:sz w:val="20"/>
          <w:szCs w:val="20"/>
          <w:u w:color="002c9d"/>
          <w:rtl w:val="0"/>
        </w:rPr>
        <w:t> </w:t>
      </w:r>
      <w:r>
        <w:rPr>
          <w:rFonts w:ascii="Arial" w:hAnsi="Arial"/>
          <w:color w:val="002c9d"/>
          <w:sz w:val="20"/>
          <w:szCs w:val="20"/>
          <w:u w:color="002c9d"/>
          <w:rtl w:val="0"/>
        </w:rPr>
        <w:t xml:space="preserve">% </w:t>
      </w:r>
      <w:r>
        <w:rPr>
          <w:rFonts w:ascii="Arial" w:hAnsi="Arial" w:hint="default"/>
          <w:color w:val="002c9d"/>
          <w:sz w:val="20"/>
          <w:szCs w:val="20"/>
          <w:u w:color="002c9d"/>
          <w:rtl w:val="0"/>
        </w:rPr>
        <w:t>ü</w:t>
      </w: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 xml:space="preserve">ber dem des </w:t>
      </w:r>
      <w:r>
        <w:rPr>
          <w:rFonts w:ascii="Arial Unicode MS" w:cs="Arial Unicode MS" w:hAnsi="Arial Unicode MS" w:eastAsia="Arial Unicode MS"/>
          <w:color w:val="002c9d"/>
          <w:sz w:val="20"/>
          <w:szCs w:val="20"/>
          <w:u w:color="002c9d"/>
        </w:rPr>
        <w:br w:type="textWrapping"/>
      </w:r>
      <w:r>
        <w:rPr>
          <w:rFonts w:ascii="Arial" w:hAnsi="Arial"/>
          <w:color w:val="002c9d"/>
          <w:sz w:val="20"/>
          <w:szCs w:val="20"/>
          <w:u w:color="002c9d"/>
          <w:rtl w:val="0"/>
        </w:rPr>
        <w:t>g</w:t>
      </w:r>
      <w:r>
        <w:rPr>
          <w:rFonts w:ascii="Arial" w:hAnsi="Arial" w:hint="default"/>
          <w:color w:val="002c9d"/>
          <w:sz w:val="20"/>
          <w:szCs w:val="20"/>
          <w:u w:color="002c9d"/>
          <w:rtl w:val="0"/>
        </w:rPr>
        <w:t>ü</w:t>
      </w: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 xml:space="preserve">nstigsten liegen darf. Ende Juni wurde vom Hauptverband eine Liste der betroffenen Arzneimittel </w:t>
      </w:r>
      <w:r>
        <w:rPr>
          <w:rFonts w:ascii="Arial Unicode MS" w:cs="Arial Unicode MS" w:hAnsi="Arial Unicode MS" w:eastAsia="Arial Unicode MS"/>
          <w:color w:val="002c9d"/>
          <w:sz w:val="20"/>
          <w:szCs w:val="20"/>
          <w:u w:color="002c9d"/>
        </w:rPr>
        <w:br w:type="textWrapping"/>
      </w:r>
      <w:r>
        <w:rPr>
          <w:rFonts w:ascii="Arial" w:hAnsi="Arial"/>
          <w:color w:val="002c9d"/>
          <w:sz w:val="20"/>
          <w:szCs w:val="20"/>
          <w:u w:color="002c9d"/>
          <w:rtl w:val="0"/>
        </w:rPr>
        <w:t>ver</w:t>
      </w:r>
      <w:r>
        <w:rPr>
          <w:rFonts w:ascii="Arial" w:hAnsi="Arial" w:hint="default"/>
          <w:color w:val="002c9d"/>
          <w:sz w:val="20"/>
          <w:szCs w:val="20"/>
          <w:u w:color="002c9d"/>
          <w:rtl w:val="0"/>
          <w:lang w:val="sv-SE"/>
        </w:rPr>
        <w:t>ö</w:t>
      </w: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 xml:space="preserve">ffentlicht (Verlautbarung Nr.: 90/2017) und die vertriebsberechtigten Unternehmen hatten bis Anfang Oktober Zeit, die Preise entsprechend zu senken. </w:t>
      </w:r>
    </w:p>
    <w:p>
      <w:pPr>
        <w:pStyle w:val="Standard"/>
        <w:tabs>
          <w:tab w:val="left" w:pos="1440"/>
        </w:tabs>
        <w:spacing w:line="288" w:lineRule="auto"/>
        <w:rPr>
          <w:rFonts w:ascii="Arial" w:cs="Arial" w:hAnsi="Arial" w:eastAsia="Arial"/>
          <w:color w:val="002c9d"/>
          <w:sz w:val="20"/>
          <w:szCs w:val="20"/>
          <w:u w:color="002c9d"/>
        </w:rPr>
      </w:pP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>Wir haben die Auswirkungen dieser Novelle genau untersucht. Um den Umsatzeffekt auf FAP (Fabrikab-</w:t>
      </w:r>
      <w:r>
        <w:rPr>
          <w:rFonts w:ascii="Arial Unicode MS" w:cs="Arial Unicode MS" w:hAnsi="Arial Unicode MS" w:eastAsia="Arial Unicode MS"/>
          <w:color w:val="002c9d"/>
          <w:sz w:val="20"/>
          <w:szCs w:val="20"/>
          <w:u w:color="002c9d"/>
        </w:rPr>
        <w:br w:type="textWrapping"/>
      </w: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>gabepreis)- und KKP (Krankenkassenpreis)-Ebene zu berechnen, wurde die vom Hauptverband ver</w:t>
      </w:r>
      <w:r>
        <w:rPr>
          <w:rFonts w:ascii="Arial" w:hAnsi="Arial" w:hint="default"/>
          <w:color w:val="002c9d"/>
          <w:sz w:val="20"/>
          <w:szCs w:val="20"/>
          <w:u w:color="002c9d"/>
          <w:rtl w:val="0"/>
          <w:lang w:val="sv-SE"/>
        </w:rPr>
        <w:t>ö</w:t>
      </w: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 xml:space="preserve">ffentlichte Liste der betroffenen Arzneimittel den einzelnen Handelsformen zugeordnet. </w:t>
      </w:r>
    </w:p>
    <w:p>
      <w:pPr>
        <w:pStyle w:val="Standard"/>
        <w:tabs>
          <w:tab w:val="left" w:pos="1440"/>
        </w:tabs>
        <w:spacing w:line="288" w:lineRule="auto"/>
        <w:rPr>
          <w:rFonts w:ascii="Arial" w:cs="Arial" w:hAnsi="Arial" w:eastAsia="Arial"/>
          <w:color w:val="002c9d"/>
          <w:sz w:val="20"/>
          <w:szCs w:val="20"/>
          <w:u w:color="002c9d"/>
        </w:rPr>
      </w:pP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>Der Absatz (Packungen) des DPM</w:t>
      </w:r>
      <w:r>
        <w:rPr>
          <w:rFonts w:ascii="Arial" w:hAnsi="Arial" w:hint="default"/>
          <w:color w:val="002c9d"/>
          <w:sz w:val="20"/>
          <w:szCs w:val="20"/>
          <w:u w:color="002c9d"/>
          <w:rtl w:val="0"/>
        </w:rPr>
        <w:t xml:space="preserve">Ö </w:t>
      </w: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 xml:space="preserve">(Der Pharmazeutische Markt </w:t>
      </w:r>
      <w:r>
        <w:rPr>
          <w:rFonts w:ascii="Arial" w:hAnsi="Arial" w:hint="default"/>
          <w:color w:val="002c9d"/>
          <w:sz w:val="20"/>
          <w:szCs w:val="20"/>
          <w:u w:color="002c9d"/>
          <w:rtl w:val="0"/>
        </w:rPr>
        <w:t>Ö</w:t>
      </w: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>sterreich) f</w:t>
      </w:r>
      <w:r>
        <w:rPr>
          <w:rFonts w:ascii="Arial" w:hAnsi="Arial" w:hint="default"/>
          <w:color w:val="002c9d"/>
          <w:sz w:val="20"/>
          <w:szCs w:val="20"/>
          <w:u w:color="002c9d"/>
          <w:rtl w:val="0"/>
        </w:rPr>
        <w:t>ü</w:t>
      </w: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 xml:space="preserve">r die Periode MAT 09/2017 (Oktober 2016 bis September 2017) wurde sodann mit den FAPs der jeweiligen Periode (01/2017 - 10/2017) </w:t>
      </w:r>
      <w:r>
        <w:rPr>
          <w:rFonts w:ascii="Arial Unicode MS" w:cs="Arial Unicode MS" w:hAnsi="Arial Unicode MS" w:eastAsia="Arial Unicode MS"/>
          <w:color w:val="002c9d"/>
          <w:sz w:val="20"/>
          <w:szCs w:val="20"/>
          <w:u w:color="002c9d"/>
        </w:rPr>
        <w:br w:type="textWrapping"/>
      </w: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 xml:space="preserve">multipliziert, um den Umsatzeffekt der unterschiedlichen Preise bei konstanten Mengen illustrieren zu </w:t>
      </w:r>
      <w:r>
        <w:rPr>
          <w:rFonts w:ascii="Arial Unicode MS" w:cs="Arial Unicode MS" w:hAnsi="Arial Unicode MS" w:eastAsia="Arial Unicode MS"/>
          <w:color w:val="002c9d"/>
          <w:sz w:val="20"/>
          <w:szCs w:val="20"/>
          <w:u w:color="002c9d"/>
        </w:rPr>
        <w:br w:type="textWrapping"/>
      </w:r>
      <w:r>
        <w:rPr>
          <w:rFonts w:ascii="Arial" w:hAnsi="Arial"/>
          <w:color w:val="002c9d"/>
          <w:sz w:val="20"/>
          <w:szCs w:val="20"/>
          <w:u w:color="002c9d"/>
          <w:rtl w:val="0"/>
        </w:rPr>
        <w:t>k</w:t>
      </w:r>
      <w:r>
        <w:rPr>
          <w:rFonts w:ascii="Arial" w:hAnsi="Arial" w:hint="default"/>
          <w:color w:val="002c9d"/>
          <w:sz w:val="20"/>
          <w:szCs w:val="20"/>
          <w:u w:color="002c9d"/>
          <w:rtl w:val="0"/>
          <w:lang w:val="sv-SE"/>
        </w:rPr>
        <w:t>ö</w:t>
      </w: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 xml:space="preserve">nnen. Bei betroffenen Handelsformen wurde mithilfe einer Preiszeitreihe untersucht, wann der Zeitpunkt war, in dem der ASVG-Novelle entsprochen wurde. </w:t>
      </w:r>
    </w:p>
    <w:p>
      <w:pPr>
        <w:pStyle w:val="Standard"/>
        <w:tabs>
          <w:tab w:val="left" w:pos="1440"/>
        </w:tabs>
        <w:spacing w:line="288" w:lineRule="auto"/>
        <w:rPr>
          <w:rFonts w:ascii="Arial" w:cs="Arial" w:hAnsi="Arial" w:eastAsia="Arial"/>
          <w:color w:val="002c9d"/>
          <w:sz w:val="20"/>
          <w:szCs w:val="20"/>
          <w:u w:color="002c9d"/>
        </w:rPr>
      </w:pPr>
      <w:r>
        <w:rPr>
          <w:rFonts w:ascii="Arial" w:cs="Arial" w:hAnsi="Arial" w:eastAsia="Arial"/>
          <w:color w:val="002c9d"/>
          <w:sz w:val="20"/>
          <w:szCs w:val="20"/>
          <w:u w:color="002c9d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1246124</wp:posOffset>
            </wp:positionH>
            <wp:positionV relativeFrom="line">
              <wp:posOffset>242154</wp:posOffset>
            </wp:positionV>
            <wp:extent cx="5055287" cy="298406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287" cy="29840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tabs>
          <w:tab w:val="left" w:pos="1440"/>
        </w:tabs>
        <w:spacing w:line="288" w:lineRule="auto"/>
        <w:rPr>
          <w:rFonts w:ascii="Arial" w:cs="Arial" w:hAnsi="Arial" w:eastAsia="Arial"/>
          <w:color w:val="002c9d"/>
          <w:sz w:val="20"/>
          <w:szCs w:val="20"/>
          <w:u w:color="002c9d"/>
        </w:rPr>
      </w:pPr>
    </w:p>
    <w:p>
      <w:pPr>
        <w:pStyle w:val="Standard"/>
        <w:tabs>
          <w:tab w:val="left" w:pos="1440"/>
        </w:tabs>
        <w:spacing w:line="288" w:lineRule="auto"/>
        <w:rPr>
          <w:rFonts w:ascii="Arial" w:cs="Arial" w:hAnsi="Arial" w:eastAsia="Arial"/>
          <w:color w:val="002c9d"/>
          <w:sz w:val="20"/>
          <w:szCs w:val="20"/>
          <w:u w:color="002c9d"/>
        </w:rPr>
      </w:pPr>
    </w:p>
    <w:p>
      <w:pPr>
        <w:pStyle w:val="Standard"/>
        <w:tabs>
          <w:tab w:val="left" w:pos="1440"/>
        </w:tabs>
        <w:spacing w:line="288" w:lineRule="auto"/>
        <w:rPr>
          <w:rFonts w:ascii="Arial" w:cs="Arial" w:hAnsi="Arial" w:eastAsia="Arial"/>
          <w:color w:val="002c9d"/>
          <w:sz w:val="20"/>
          <w:szCs w:val="20"/>
          <w:u w:color="002c9d"/>
        </w:rPr>
      </w:pPr>
    </w:p>
    <w:p>
      <w:pPr>
        <w:pStyle w:val="Standard"/>
        <w:tabs>
          <w:tab w:val="left" w:pos="1440"/>
        </w:tabs>
        <w:spacing w:line="288" w:lineRule="auto"/>
        <w:rPr>
          <w:rFonts w:ascii="Arial" w:cs="Arial" w:hAnsi="Arial" w:eastAsia="Arial"/>
          <w:color w:val="002c9d"/>
          <w:sz w:val="20"/>
          <w:szCs w:val="20"/>
          <w:u w:color="002c9d"/>
        </w:rPr>
      </w:pP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>Wie die Abbildung zeigt, haben die Unternehmen die Preissenkungen zu einem kleinen Teil bereits im Juli freiwillig vorgezogen, der Gro</w:t>
      </w:r>
      <w:r>
        <w:rPr>
          <w:rFonts w:ascii="Arial" w:hAnsi="Arial" w:hint="default"/>
          <w:color w:val="002c9d"/>
          <w:sz w:val="20"/>
          <w:szCs w:val="20"/>
          <w:u w:color="002c9d"/>
          <w:rtl w:val="0"/>
          <w:lang w:val="de-DE"/>
        </w:rPr>
        <w:t>ß</w:t>
      </w: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 xml:space="preserve">teil der Senkungen fiel dann jedoch, wie zu erwarten war, von September auf Oktober 2017 an. </w:t>
      </w:r>
    </w:p>
    <w:p>
      <w:pPr>
        <w:pStyle w:val="Standard"/>
        <w:tabs>
          <w:tab w:val="left" w:pos="1440"/>
        </w:tabs>
        <w:spacing w:line="288" w:lineRule="auto"/>
        <w:rPr>
          <w:rFonts w:ascii="Arial" w:cs="Arial" w:hAnsi="Arial" w:eastAsia="Arial"/>
          <w:color w:val="002c9d"/>
          <w:sz w:val="20"/>
          <w:szCs w:val="20"/>
          <w:u w:color="002c9d"/>
        </w:rPr>
      </w:pPr>
    </w:p>
    <w:p>
      <w:pPr>
        <w:pStyle w:val="Standard"/>
        <w:tabs>
          <w:tab w:val="left" w:pos="1440"/>
        </w:tabs>
        <w:spacing w:line="288" w:lineRule="auto"/>
        <w:rPr>
          <w:rFonts w:ascii="Arial" w:cs="Arial" w:hAnsi="Arial" w:eastAsia="Arial"/>
          <w:color w:val="002c9d"/>
          <w:sz w:val="20"/>
          <w:szCs w:val="20"/>
          <w:u w:color="002c9d"/>
        </w:rPr>
      </w:pP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>Auf Basis einer j</w:t>
      </w:r>
      <w:r>
        <w:rPr>
          <w:rFonts w:ascii="Arial" w:hAnsi="Arial" w:hint="default"/>
          <w:color w:val="002c9d"/>
          <w:sz w:val="20"/>
          <w:szCs w:val="20"/>
          <w:u w:color="002c9d"/>
          <w:rtl w:val="0"/>
        </w:rPr>
        <w:t>ä</w:t>
      </w: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>hrlichen Hochrechnung wird die Neuregelung zu einem j</w:t>
      </w:r>
      <w:r>
        <w:rPr>
          <w:rFonts w:ascii="Arial" w:hAnsi="Arial" w:hint="default"/>
          <w:color w:val="002c9d"/>
          <w:sz w:val="20"/>
          <w:szCs w:val="20"/>
          <w:u w:color="002c9d"/>
          <w:rtl w:val="0"/>
        </w:rPr>
        <w:t>ä</w:t>
      </w: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>hrlichen Umsatzr</w:t>
      </w:r>
      <w:r>
        <w:rPr>
          <w:rFonts w:ascii="Arial" w:hAnsi="Arial" w:hint="default"/>
          <w:color w:val="002c9d"/>
          <w:sz w:val="20"/>
          <w:szCs w:val="20"/>
          <w:u w:color="002c9d"/>
          <w:rtl w:val="0"/>
        </w:rPr>
        <w:t>ü</w:t>
      </w: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>ckgang von EUR 34,32 Mio. (FAP) f</w:t>
      </w:r>
      <w:r>
        <w:rPr>
          <w:rFonts w:ascii="Arial" w:hAnsi="Arial" w:hint="default"/>
          <w:color w:val="002c9d"/>
          <w:sz w:val="20"/>
          <w:szCs w:val="20"/>
          <w:u w:color="002c9d"/>
          <w:rtl w:val="0"/>
        </w:rPr>
        <w:t>ü</w:t>
      </w: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 xml:space="preserve">hren. Dieser Wert entspricht nach Korrelation mit den jeweiligen einzelnen KKPs der Packungen EUR 49,8 Mio. (KKP). </w:t>
      </w:r>
    </w:p>
    <w:p>
      <w:pPr>
        <w:pStyle w:val="Standard"/>
        <w:tabs>
          <w:tab w:val="left" w:pos="1440"/>
        </w:tabs>
        <w:spacing w:line="288" w:lineRule="auto"/>
        <w:rPr>
          <w:rFonts w:ascii="Arial" w:cs="Arial" w:hAnsi="Arial" w:eastAsia="Arial"/>
          <w:color w:val="002c9d"/>
          <w:sz w:val="20"/>
          <w:szCs w:val="20"/>
          <w:u w:color="002c9d"/>
        </w:rPr>
      </w:pP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>Unserer Analyse zufolge haben etwas mehr als 8</w:t>
      </w:r>
      <w:r>
        <w:rPr>
          <w:rFonts w:ascii="Arial" w:hAnsi="Arial" w:hint="default"/>
          <w:color w:val="002c9d"/>
          <w:sz w:val="20"/>
          <w:szCs w:val="20"/>
          <w:u w:color="002c9d"/>
          <w:rtl w:val="0"/>
        </w:rPr>
        <w:t> </w:t>
      </w: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>% der von der Senkung betroffenen Arzneispezialit</w:t>
      </w:r>
      <w:r>
        <w:rPr>
          <w:rFonts w:ascii="Arial" w:hAnsi="Arial" w:hint="default"/>
          <w:color w:val="002c9d"/>
          <w:sz w:val="20"/>
          <w:szCs w:val="20"/>
          <w:u w:color="002c9d"/>
          <w:rtl w:val="0"/>
        </w:rPr>
        <w:t>ä</w:t>
      </w: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>ten die Preissenkung mit Oktober nicht mitvollzogen. Der Anteil jener Arzneispezialit</w:t>
      </w:r>
      <w:r>
        <w:rPr>
          <w:rFonts w:ascii="Arial" w:hAnsi="Arial" w:hint="default"/>
          <w:color w:val="002c9d"/>
          <w:sz w:val="20"/>
          <w:szCs w:val="20"/>
          <w:u w:color="002c9d"/>
          <w:rtl w:val="0"/>
        </w:rPr>
        <w:t>ä</w:t>
      </w: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>ten, die sich weiterhin im Erstattungskodex befinden und die unterhalb der Rezeptgeb</w:t>
      </w:r>
      <w:r>
        <w:rPr>
          <w:rFonts w:ascii="Arial" w:hAnsi="Arial" w:hint="default"/>
          <w:color w:val="002c9d"/>
          <w:sz w:val="20"/>
          <w:szCs w:val="20"/>
          <w:u w:color="002c9d"/>
          <w:rtl w:val="0"/>
        </w:rPr>
        <w:t>ü</w:t>
      </w: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>hrenobergrenze liegen, ist durch diese gesetzliche Ma</w:t>
      </w:r>
      <w:r>
        <w:rPr>
          <w:rFonts w:ascii="Arial" w:hAnsi="Arial" w:hint="default"/>
          <w:color w:val="002c9d"/>
          <w:sz w:val="20"/>
          <w:szCs w:val="20"/>
          <w:u w:color="002c9d"/>
          <w:rtl w:val="0"/>
          <w:lang w:val="de-DE"/>
        </w:rPr>
        <w:t>ß</w:t>
      </w: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>nahme auf 21,5</w:t>
      </w:r>
      <w:r>
        <w:rPr>
          <w:rFonts w:ascii="Arial" w:hAnsi="Arial" w:hint="default"/>
          <w:color w:val="002c9d"/>
          <w:sz w:val="20"/>
          <w:szCs w:val="20"/>
          <w:u w:color="002c9d"/>
          <w:rtl w:val="0"/>
        </w:rPr>
        <w:t> </w:t>
      </w: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 xml:space="preserve">% gestiegen. </w:t>
      </w:r>
    </w:p>
    <w:p>
      <w:pPr>
        <w:pStyle w:val="Standard"/>
        <w:tabs>
          <w:tab w:val="left" w:pos="1440"/>
        </w:tabs>
        <w:spacing w:line="288" w:lineRule="auto"/>
        <w:rPr>
          <w:rFonts w:ascii="Arial" w:cs="Arial" w:hAnsi="Arial" w:eastAsia="Arial"/>
          <w:color w:val="002c9d"/>
          <w:sz w:val="20"/>
          <w:szCs w:val="20"/>
          <w:u w:color="002c9d"/>
        </w:rPr>
      </w:pPr>
    </w:p>
    <w:p>
      <w:pPr>
        <w:pStyle w:val="Standard"/>
        <w:tabs>
          <w:tab w:val="left" w:pos="1440"/>
        </w:tabs>
        <w:spacing w:line="288" w:lineRule="auto"/>
        <w:rPr>
          <w:rFonts w:ascii="Arial" w:cs="Arial" w:hAnsi="Arial" w:eastAsia="Arial"/>
          <w:color w:val="002c9d"/>
          <w:sz w:val="20"/>
          <w:szCs w:val="20"/>
          <w:u w:color="002c9d"/>
        </w:rPr>
      </w:pPr>
    </w:p>
    <w:p>
      <w:pPr>
        <w:pStyle w:val="Standard"/>
        <w:tabs>
          <w:tab w:val="left" w:pos="1440"/>
        </w:tabs>
        <w:spacing w:line="288" w:lineRule="auto"/>
        <w:rPr>
          <w:rFonts w:ascii="Arial" w:cs="Arial" w:hAnsi="Arial" w:eastAsia="Arial"/>
          <w:color w:val="002c9d"/>
          <w:sz w:val="20"/>
          <w:szCs w:val="20"/>
          <w:u w:color="002c9d"/>
        </w:rPr>
      </w:pPr>
      <w:r>
        <w:rPr>
          <w:rFonts w:ascii="Arial" w:hAnsi="Arial"/>
          <w:b w:val="1"/>
          <w:bCs w:val="1"/>
          <w:color w:val="002c9d"/>
          <w:sz w:val="20"/>
          <w:szCs w:val="20"/>
          <w:u w:color="002c9d"/>
          <w:rtl w:val="0"/>
          <w:lang w:val="de-DE"/>
        </w:rPr>
        <w:t xml:space="preserve">Wenn Sie an weiteren Details zu dieser Studie interessiert sind, wenden Sie sich bitte an </w:t>
      </w:r>
      <w:r>
        <w:rPr>
          <w:rFonts w:ascii="Arial Unicode MS" w:cs="Arial Unicode MS" w:hAnsi="Arial Unicode MS" w:eastAsia="Arial Unicode MS"/>
          <w:color w:val="002c9d"/>
          <w:sz w:val="20"/>
          <w:szCs w:val="20"/>
          <w:u w:color="002c9d"/>
        </w:rPr>
        <w:br w:type="textWrapping"/>
      </w:r>
      <w:r>
        <w:rPr>
          <w:rFonts w:ascii="Arial" w:hAnsi="Arial"/>
          <w:b w:val="1"/>
          <w:bCs w:val="1"/>
          <w:color w:val="002c9d"/>
          <w:sz w:val="20"/>
          <w:szCs w:val="20"/>
          <w:u w:color="002c9d"/>
          <w:rtl w:val="0"/>
          <w:lang w:val="de-DE"/>
        </w:rPr>
        <w:t xml:space="preserve">Mag. Alexander Till, Marketing und Communication IQVIA </w:t>
      </w:r>
      <w:r>
        <w:rPr>
          <w:rFonts w:ascii="Arial" w:hAnsi="Arial" w:hint="default"/>
          <w:b w:val="1"/>
          <w:bCs w:val="1"/>
          <w:color w:val="002c9d"/>
          <w:sz w:val="20"/>
          <w:szCs w:val="20"/>
          <w:u w:color="002c9d"/>
          <w:rtl w:val="0"/>
        </w:rPr>
        <w:t>Ö</w:t>
      </w:r>
      <w:r>
        <w:rPr>
          <w:rFonts w:ascii="Arial" w:hAnsi="Arial"/>
          <w:b w:val="1"/>
          <w:bCs w:val="1"/>
          <w:color w:val="002c9d"/>
          <w:sz w:val="20"/>
          <w:szCs w:val="20"/>
          <w:u w:color="002c9d"/>
          <w:rtl w:val="0"/>
          <w:lang w:val="de-DE"/>
        </w:rPr>
        <w:t>sterreich, alexander.till@iqvia.com</w:t>
      </w:r>
    </w:p>
    <w:p>
      <w:pPr>
        <w:pStyle w:val="Standard"/>
        <w:tabs>
          <w:tab w:val="left" w:pos="1440"/>
        </w:tabs>
        <w:spacing w:line="288" w:lineRule="auto"/>
        <w:rPr>
          <w:rFonts w:ascii="Arial" w:cs="Arial" w:hAnsi="Arial" w:eastAsia="Arial"/>
          <w:color w:val="002c9d"/>
          <w:sz w:val="20"/>
          <w:szCs w:val="20"/>
          <w:u w:color="002c9d"/>
        </w:rPr>
      </w:pPr>
    </w:p>
    <w:p>
      <w:pPr>
        <w:pStyle w:val="Standard"/>
        <w:tabs>
          <w:tab w:val="left" w:pos="1440"/>
        </w:tabs>
        <w:spacing w:line="288" w:lineRule="auto"/>
        <w:rPr>
          <w:rFonts w:ascii="Arial" w:cs="Arial" w:hAnsi="Arial" w:eastAsia="Arial"/>
          <w:color w:val="002c9d"/>
          <w:sz w:val="20"/>
          <w:szCs w:val="20"/>
          <w:u w:color="002c9d"/>
        </w:rPr>
      </w:pPr>
    </w:p>
    <w:p>
      <w:pPr>
        <w:pStyle w:val="Standard"/>
        <w:tabs>
          <w:tab w:val="left" w:pos="1440"/>
        </w:tabs>
        <w:spacing w:line="288" w:lineRule="auto"/>
        <w:rPr>
          <w:rFonts w:ascii="Arial" w:cs="Arial" w:hAnsi="Arial" w:eastAsia="Arial"/>
          <w:color w:val="002c9d"/>
          <w:sz w:val="20"/>
          <w:szCs w:val="20"/>
          <w:u w:color="002c9d"/>
        </w:rPr>
      </w:pPr>
    </w:p>
    <w:p>
      <w:pPr>
        <w:pStyle w:val="Standard"/>
        <w:tabs>
          <w:tab w:val="left" w:pos="1440"/>
        </w:tabs>
        <w:spacing w:line="288" w:lineRule="auto"/>
        <w:rPr>
          <w:rFonts w:ascii="Arial" w:cs="Arial" w:hAnsi="Arial" w:eastAsia="Arial"/>
          <w:color w:val="002c9d"/>
          <w:sz w:val="20"/>
          <w:szCs w:val="20"/>
          <w:u w:color="002c9d"/>
        </w:rPr>
      </w:pPr>
    </w:p>
    <w:p>
      <w:pPr>
        <w:pStyle w:val="Standard"/>
        <w:tabs>
          <w:tab w:val="left" w:pos="1440"/>
        </w:tabs>
        <w:spacing w:line="288" w:lineRule="auto"/>
        <w:rPr>
          <w:rFonts w:ascii="Arial" w:cs="Arial" w:hAnsi="Arial" w:eastAsia="Arial"/>
          <w:color w:val="002c9d"/>
          <w:sz w:val="20"/>
          <w:szCs w:val="20"/>
          <w:u w:color="002c9d"/>
        </w:rPr>
      </w:pPr>
    </w:p>
    <w:p>
      <w:pPr>
        <w:pStyle w:val="Standard"/>
        <w:tabs>
          <w:tab w:val="left" w:pos="1440"/>
        </w:tabs>
        <w:spacing w:line="288" w:lineRule="auto"/>
        <w:rPr>
          <w:rFonts w:ascii="Arial" w:cs="Arial" w:hAnsi="Arial" w:eastAsia="Arial"/>
          <w:color w:val="002c9d"/>
          <w:sz w:val="20"/>
          <w:szCs w:val="20"/>
          <w:u w:color="002c9d"/>
        </w:rPr>
      </w:pPr>
    </w:p>
    <w:p>
      <w:pPr>
        <w:pStyle w:val="Standard"/>
        <w:tabs>
          <w:tab w:val="left" w:pos="1440"/>
        </w:tabs>
        <w:spacing w:line="288" w:lineRule="auto"/>
        <w:rPr>
          <w:rFonts w:ascii="Arial" w:cs="Arial" w:hAnsi="Arial" w:eastAsia="Arial"/>
          <w:color w:val="002c9d"/>
          <w:sz w:val="20"/>
          <w:szCs w:val="20"/>
          <w:u w:color="002c9d"/>
        </w:rPr>
      </w:pPr>
    </w:p>
    <w:p>
      <w:pPr>
        <w:pStyle w:val="Standard"/>
        <w:tabs>
          <w:tab w:val="left" w:pos="1440"/>
        </w:tabs>
        <w:spacing w:line="288" w:lineRule="auto"/>
        <w:rPr>
          <w:rFonts w:ascii="Arial" w:cs="Arial" w:hAnsi="Arial" w:eastAsia="Arial"/>
          <w:color w:val="002c9d"/>
          <w:sz w:val="20"/>
          <w:szCs w:val="20"/>
          <w:u w:color="002c9d"/>
        </w:rPr>
      </w:pPr>
    </w:p>
    <w:p>
      <w:pPr>
        <w:pStyle w:val="Standard"/>
        <w:tabs>
          <w:tab w:val="left" w:pos="1440"/>
        </w:tabs>
        <w:spacing w:line="288" w:lineRule="auto"/>
        <w:rPr>
          <w:rFonts w:ascii="Arial" w:cs="Arial" w:hAnsi="Arial" w:eastAsia="Arial"/>
          <w:color w:val="002c9d"/>
          <w:sz w:val="20"/>
          <w:szCs w:val="20"/>
          <w:u w:color="002c9d"/>
        </w:rPr>
      </w:pPr>
      <w:r>
        <w:rPr>
          <w:rFonts w:ascii="Arial" w:hAnsi="Arial" w:hint="default"/>
          <w:b w:val="1"/>
          <w:bCs w:val="1"/>
          <w:color w:val="002c9d"/>
          <w:sz w:val="20"/>
          <w:szCs w:val="20"/>
          <w:u w:color="002c9d"/>
          <w:rtl w:val="0"/>
          <w:lang w:val="de-DE"/>
        </w:rPr>
        <w:t>Ü</w:t>
      </w:r>
      <w:r>
        <w:rPr>
          <w:rFonts w:ascii="Arial" w:hAnsi="Arial"/>
          <w:b w:val="1"/>
          <w:bCs w:val="1"/>
          <w:color w:val="002c9d"/>
          <w:sz w:val="20"/>
          <w:szCs w:val="20"/>
          <w:u w:color="002c9d"/>
          <w:rtl w:val="0"/>
          <w:lang w:val="de-DE"/>
        </w:rPr>
        <w:t>ber IQVIA</w:t>
      </w:r>
      <w:r>
        <w:rPr>
          <w:rFonts w:ascii="Arial" w:hAnsi="Arial" w:hint="default"/>
          <w:b w:val="1"/>
          <w:bCs w:val="1"/>
          <w:color w:val="002c9d"/>
          <w:sz w:val="20"/>
          <w:szCs w:val="20"/>
          <w:u w:color="002c9d"/>
          <w:rtl w:val="0"/>
        </w:rPr>
        <w:t>™</w:t>
      </w:r>
    </w:p>
    <w:p>
      <w:pPr>
        <w:pStyle w:val="Standard"/>
        <w:tabs>
          <w:tab w:val="left" w:pos="1440"/>
        </w:tabs>
        <w:spacing w:line="288" w:lineRule="auto"/>
        <w:rPr>
          <w:rFonts w:ascii="Arial" w:cs="Arial" w:hAnsi="Arial" w:eastAsia="Arial"/>
          <w:color w:val="002c9d"/>
          <w:sz w:val="20"/>
          <w:szCs w:val="20"/>
          <w:u w:color="002c9d"/>
        </w:rPr>
      </w:pP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>IQVIA [sprich: aik</w:t>
      </w: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>j</w:t>
      </w: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>u:via] ist ein f</w:t>
      </w:r>
      <w:r>
        <w:rPr>
          <w:rFonts w:ascii="Arial" w:hAnsi="Arial" w:hint="default"/>
          <w:color w:val="002c9d"/>
          <w:sz w:val="20"/>
          <w:szCs w:val="20"/>
          <w:u w:color="002c9d"/>
          <w:rtl w:val="0"/>
        </w:rPr>
        <w:t>ü</w:t>
      </w: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 xml:space="preserve">hrender, globaler Anbieter von Informationen, innovativen </w:t>
      </w:r>
    </w:p>
    <w:p>
      <w:pPr>
        <w:pStyle w:val="Standard"/>
        <w:tabs>
          <w:tab w:val="left" w:pos="1440"/>
        </w:tabs>
        <w:spacing w:after="113" w:line="288" w:lineRule="auto"/>
        <w:rPr>
          <w:rFonts w:ascii="Arial" w:cs="Arial" w:hAnsi="Arial" w:eastAsia="Arial"/>
          <w:color w:val="002c9d"/>
          <w:sz w:val="20"/>
          <w:szCs w:val="20"/>
          <w:u w:color="002c9d"/>
        </w:rPr>
      </w:pPr>
      <w:r>
        <w:rPr>
          <w:rFonts w:ascii="Arial" w:hAnsi="Arial"/>
          <w:color w:val="002c9d"/>
          <w:sz w:val="20"/>
          <w:szCs w:val="20"/>
          <w:u w:color="002c9d"/>
          <w:rtl w:val="0"/>
        </w:rPr>
        <w:t>Technologiel</w:t>
      </w:r>
      <w:r>
        <w:rPr>
          <w:rFonts w:ascii="Arial" w:hAnsi="Arial" w:hint="default"/>
          <w:color w:val="002c9d"/>
          <w:sz w:val="20"/>
          <w:szCs w:val="20"/>
          <w:u w:color="002c9d"/>
          <w:rtl w:val="0"/>
          <w:lang w:val="sv-SE"/>
        </w:rPr>
        <w:t>ö</w:t>
      </w: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 xml:space="preserve">sungen und Serviceleistungen im Bereich der Marktforschung und klinischen </w:t>
      </w:r>
      <w:r>
        <w:rPr>
          <w:rFonts w:ascii="Arial Unicode MS" w:cs="Arial Unicode MS" w:hAnsi="Arial Unicode MS" w:eastAsia="Arial Unicode MS"/>
          <w:color w:val="002c9d"/>
          <w:sz w:val="20"/>
          <w:szCs w:val="20"/>
          <w:u w:color="002c9d"/>
        </w:rPr>
        <w:br w:type="textWrapping"/>
      </w: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 xml:space="preserve">Auftragsforschung. </w:t>
      </w:r>
    </w:p>
    <w:p>
      <w:pPr>
        <w:pStyle w:val="Standard"/>
        <w:tabs>
          <w:tab w:val="left" w:pos="1440"/>
        </w:tabs>
        <w:spacing w:after="113" w:line="288" w:lineRule="auto"/>
        <w:rPr>
          <w:rFonts w:ascii="Arial" w:cs="Arial" w:hAnsi="Arial" w:eastAsia="Arial"/>
          <w:color w:val="002c9d"/>
          <w:sz w:val="20"/>
          <w:szCs w:val="20"/>
          <w:u w:color="002c9d"/>
        </w:rPr>
      </w:pP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 xml:space="preserve">IQVIA nutzt Daten und wissenschaftliche Methoden, um Akteure in der Gesundheitsbranche </w:t>
      </w:r>
      <w:r>
        <w:rPr>
          <w:rFonts w:ascii="Arial Unicode MS" w:cs="Arial Unicode MS" w:hAnsi="Arial Unicode MS" w:eastAsia="Arial Unicode MS"/>
          <w:color w:val="002c9d"/>
          <w:sz w:val="20"/>
          <w:szCs w:val="20"/>
          <w:u w:color="002c9d"/>
        </w:rPr>
        <w:br w:type="textWrapping"/>
      </w: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>darin zu unterst</w:t>
      </w:r>
      <w:r>
        <w:rPr>
          <w:rFonts w:ascii="Arial" w:hAnsi="Arial" w:hint="default"/>
          <w:color w:val="002c9d"/>
          <w:sz w:val="20"/>
          <w:szCs w:val="20"/>
          <w:u w:color="002c9d"/>
          <w:rtl w:val="0"/>
        </w:rPr>
        <w:t>ü</w:t>
      </w: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>tzen, bessere L</w:t>
      </w:r>
      <w:r>
        <w:rPr>
          <w:rFonts w:ascii="Arial" w:hAnsi="Arial" w:hint="default"/>
          <w:color w:val="002c9d"/>
          <w:sz w:val="20"/>
          <w:szCs w:val="20"/>
          <w:u w:color="002c9d"/>
          <w:rtl w:val="0"/>
          <w:lang w:val="sv-SE"/>
        </w:rPr>
        <w:t>ö</w:t>
      </w: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>sungen f</w:t>
      </w:r>
      <w:r>
        <w:rPr>
          <w:rFonts w:ascii="Arial" w:hAnsi="Arial" w:hint="default"/>
          <w:color w:val="002c9d"/>
          <w:sz w:val="20"/>
          <w:szCs w:val="20"/>
          <w:u w:color="002c9d"/>
          <w:rtl w:val="0"/>
        </w:rPr>
        <w:t>ü</w:t>
      </w: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 xml:space="preserve">r ihre Kunden zu finden. </w:t>
      </w:r>
    </w:p>
    <w:p>
      <w:pPr>
        <w:pStyle w:val="Standard"/>
        <w:tabs>
          <w:tab w:val="left" w:pos="1440"/>
        </w:tabs>
        <w:spacing w:after="113" w:line="288" w:lineRule="auto"/>
        <w:rPr>
          <w:rFonts w:ascii="Arial" w:cs="Arial" w:hAnsi="Arial" w:eastAsia="Arial"/>
          <w:color w:val="002c9d"/>
          <w:sz w:val="20"/>
          <w:szCs w:val="20"/>
          <w:u w:color="002c9d"/>
        </w:rPr>
      </w:pP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>IQVIA erm</w:t>
      </w:r>
      <w:r>
        <w:rPr>
          <w:rFonts w:ascii="Arial" w:hAnsi="Arial" w:hint="default"/>
          <w:color w:val="002c9d"/>
          <w:sz w:val="20"/>
          <w:szCs w:val="20"/>
          <w:u w:color="002c9d"/>
          <w:rtl w:val="0"/>
          <w:lang w:val="sv-SE"/>
        </w:rPr>
        <w:t>ö</w:t>
      </w: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 xml:space="preserve">glicht es Unternehmen, ihre Konzepte von klinischer Entwicklung und Vermarktung zu </w:t>
      </w:r>
      <w:r>
        <w:rPr>
          <w:rFonts w:ascii="Arial Unicode MS" w:cs="Arial Unicode MS" w:hAnsi="Arial Unicode MS" w:eastAsia="Arial Unicode MS"/>
          <w:color w:val="002c9d"/>
          <w:sz w:val="20"/>
          <w:szCs w:val="20"/>
          <w:u w:color="002c9d"/>
        </w:rPr>
        <w:br w:type="textWrapping"/>
      </w: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>optimieren, Innovationen zu f</w:t>
      </w:r>
      <w:r>
        <w:rPr>
          <w:rFonts w:ascii="Arial" w:hAnsi="Arial" w:hint="default"/>
          <w:color w:val="002c9d"/>
          <w:sz w:val="20"/>
          <w:szCs w:val="20"/>
          <w:u w:color="002c9d"/>
          <w:rtl w:val="0"/>
          <w:lang w:val="sv-SE"/>
        </w:rPr>
        <w:t>ö</w:t>
      </w: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>rdern und aussagekr</w:t>
      </w:r>
      <w:r>
        <w:rPr>
          <w:rFonts w:ascii="Arial" w:hAnsi="Arial" w:hint="default"/>
          <w:color w:val="002c9d"/>
          <w:sz w:val="20"/>
          <w:szCs w:val="20"/>
          <w:u w:color="002c9d"/>
          <w:rtl w:val="0"/>
        </w:rPr>
        <w:t>ä</w:t>
      </w: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>ftige Resultate zu erzielen.</w:t>
      </w:r>
    </w:p>
    <w:p>
      <w:pPr>
        <w:pStyle w:val="Standard"/>
        <w:tabs>
          <w:tab w:val="left" w:pos="1440"/>
        </w:tabs>
        <w:spacing w:line="288" w:lineRule="auto"/>
        <w:rPr>
          <w:rFonts w:ascii="Arial" w:cs="Arial" w:hAnsi="Arial" w:eastAsia="Arial"/>
          <w:color w:val="002c9d"/>
          <w:sz w:val="20"/>
          <w:szCs w:val="20"/>
          <w:u w:color="002c9d"/>
        </w:rPr>
      </w:pP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>IQVIA entstand durch den Zusammenschluss von IMS Health und Quintiles. Das Unternehmen besch</w:t>
      </w:r>
      <w:r>
        <w:rPr>
          <w:rFonts w:ascii="Arial" w:hAnsi="Arial" w:hint="default"/>
          <w:color w:val="002c9d"/>
          <w:sz w:val="20"/>
          <w:szCs w:val="20"/>
          <w:u w:color="002c9d"/>
          <w:rtl w:val="0"/>
        </w:rPr>
        <w:t>ä</w:t>
      </w: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 xml:space="preserve">ftigt rund 55.000 Mitarbeiter in </w:t>
      </w:r>
      <w:r>
        <w:rPr>
          <w:rFonts w:ascii="Arial" w:hAnsi="Arial" w:hint="default"/>
          <w:color w:val="002c9d"/>
          <w:sz w:val="20"/>
          <w:szCs w:val="20"/>
          <w:u w:color="002c9d"/>
          <w:rtl w:val="0"/>
        </w:rPr>
        <w:t>ü</w:t>
      </w: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>ber 100 L</w:t>
      </w:r>
      <w:r>
        <w:rPr>
          <w:rFonts w:ascii="Arial" w:hAnsi="Arial" w:hint="default"/>
          <w:color w:val="002c9d"/>
          <w:sz w:val="20"/>
          <w:szCs w:val="20"/>
          <w:u w:color="002c9d"/>
          <w:rtl w:val="0"/>
        </w:rPr>
        <w:t>ä</w:t>
      </w: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 xml:space="preserve">ndern. Die </w:t>
      </w:r>
      <w:r>
        <w:rPr>
          <w:rFonts w:ascii="Arial" w:hAnsi="Arial" w:hint="default"/>
          <w:color w:val="002c9d"/>
          <w:sz w:val="20"/>
          <w:szCs w:val="20"/>
          <w:u w:color="002c9d"/>
          <w:rtl w:val="0"/>
          <w:lang w:val="sv-SE"/>
        </w:rPr>
        <w:t>ö</w:t>
      </w: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>sterreichische Niederlassung unter der Gesch</w:t>
      </w:r>
      <w:r>
        <w:rPr>
          <w:rFonts w:ascii="Arial" w:hAnsi="Arial" w:hint="default"/>
          <w:color w:val="002c9d"/>
          <w:sz w:val="20"/>
          <w:szCs w:val="20"/>
          <w:u w:color="002c9d"/>
          <w:rtl w:val="0"/>
        </w:rPr>
        <w:t>ä</w:t>
      </w: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>ftsf</w:t>
      </w:r>
      <w:r>
        <w:rPr>
          <w:rFonts w:ascii="Arial" w:hAnsi="Arial" w:hint="default"/>
          <w:color w:val="002c9d"/>
          <w:sz w:val="20"/>
          <w:szCs w:val="20"/>
          <w:u w:color="002c9d"/>
          <w:rtl w:val="0"/>
        </w:rPr>
        <w:t>ü</w:t>
      </w: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>hrung von Dr. Martin Spatz konzentriert ihre Aktivit</w:t>
      </w:r>
      <w:r>
        <w:rPr>
          <w:rFonts w:ascii="Arial" w:hAnsi="Arial" w:hint="default"/>
          <w:color w:val="002c9d"/>
          <w:sz w:val="20"/>
          <w:szCs w:val="20"/>
          <w:u w:color="002c9d"/>
          <w:rtl w:val="0"/>
        </w:rPr>
        <w:t>ä</w:t>
      </w: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>ten auf Dienstleistungen in den Bereichen Markt-</w:t>
      </w:r>
      <w:r>
        <w:rPr>
          <w:rFonts w:ascii="Arial Unicode MS" w:cs="Arial Unicode MS" w:hAnsi="Arial Unicode MS" w:eastAsia="Arial Unicode MS"/>
          <w:color w:val="002c9d"/>
          <w:sz w:val="20"/>
          <w:szCs w:val="20"/>
          <w:u w:color="002c9d"/>
        </w:rPr>
        <w:br w:type="textWrapping"/>
      </w: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>forschung, Beratung und Kommerzialisierung sowie Auftragsforschung die f</w:t>
      </w:r>
      <w:r>
        <w:rPr>
          <w:rFonts w:ascii="Arial" w:hAnsi="Arial" w:hint="default"/>
          <w:color w:val="002c9d"/>
          <w:sz w:val="20"/>
          <w:szCs w:val="20"/>
          <w:u w:color="002c9d"/>
          <w:rtl w:val="0"/>
        </w:rPr>
        <w:t>ü</w:t>
      </w: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>r den heimischen Gesundheitssektor von Interesse sind.</w:t>
      </w:r>
    </w:p>
    <w:p>
      <w:pPr>
        <w:pStyle w:val="Standard"/>
        <w:tabs>
          <w:tab w:val="left" w:pos="1440"/>
        </w:tabs>
        <w:spacing w:line="288" w:lineRule="auto"/>
        <w:rPr>
          <w:rFonts w:ascii="Arial" w:cs="Arial" w:hAnsi="Arial" w:eastAsia="Arial"/>
          <w:color w:val="002c9d"/>
          <w:sz w:val="20"/>
          <w:szCs w:val="20"/>
          <w:u w:color="002c9d"/>
        </w:rPr>
      </w:pPr>
    </w:p>
    <w:p>
      <w:pPr>
        <w:pStyle w:val="Standard"/>
        <w:tabs>
          <w:tab w:val="left" w:pos="1440"/>
        </w:tabs>
        <w:spacing w:line="288" w:lineRule="auto"/>
        <w:rPr>
          <w:rFonts w:ascii="Arial" w:cs="Arial" w:hAnsi="Arial" w:eastAsia="Arial"/>
          <w:color w:val="002c9d"/>
          <w:sz w:val="20"/>
          <w:szCs w:val="20"/>
          <w:u w:color="002c9d"/>
        </w:rPr>
      </w:pPr>
      <w:r>
        <w:rPr>
          <w:rFonts w:ascii="Arial" w:hAnsi="Arial"/>
          <w:color w:val="002c9d"/>
          <w:sz w:val="20"/>
          <w:szCs w:val="20"/>
          <w:u w:color="002c9d"/>
          <w:rtl w:val="0"/>
          <w:lang w:val="pt-PT"/>
        </w:rPr>
        <w:t xml:space="preserve">IQVIA Austria </w:t>
      </w:r>
    </w:p>
    <w:p>
      <w:pPr>
        <w:pStyle w:val="Standard"/>
        <w:tabs>
          <w:tab w:val="left" w:pos="1440"/>
        </w:tabs>
        <w:spacing w:line="288" w:lineRule="auto"/>
        <w:rPr>
          <w:rFonts w:ascii="Arial" w:cs="Arial" w:hAnsi="Arial" w:eastAsia="Arial"/>
          <w:color w:val="002c9d"/>
          <w:sz w:val="20"/>
          <w:szCs w:val="20"/>
          <w:u w:color="002c9d"/>
        </w:rPr>
      </w:pP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>Stella-Klein-L</w:t>
      </w:r>
      <w:r>
        <w:rPr>
          <w:rFonts w:ascii="Arial" w:hAnsi="Arial" w:hint="default"/>
          <w:color w:val="002c9d"/>
          <w:sz w:val="20"/>
          <w:szCs w:val="20"/>
          <w:u w:color="002c9d"/>
          <w:rtl w:val="0"/>
          <w:lang w:val="sv-SE"/>
        </w:rPr>
        <w:t>ö</w:t>
      </w:r>
      <w:r>
        <w:rPr>
          <w:rFonts w:ascii="Arial" w:hAnsi="Arial"/>
          <w:color w:val="002c9d"/>
          <w:sz w:val="20"/>
          <w:szCs w:val="20"/>
          <w:u w:color="002c9d"/>
          <w:rtl w:val="0"/>
          <w:lang w:val="de-DE"/>
        </w:rPr>
        <w:t xml:space="preserve">w-Weg 15, Haus B 5. Stock, A - 1020 Wien, Austria, Tel: +43 (0) 1 78 00 2 </w:t>
      </w:r>
    </w:p>
    <w:p>
      <w:pPr>
        <w:pStyle w:val="Standard"/>
        <w:tabs>
          <w:tab w:val="left" w:pos="1440"/>
        </w:tabs>
        <w:spacing w:line="288" w:lineRule="auto"/>
      </w:pPr>
      <w:r>
        <w:rPr>
          <w:rFonts w:ascii="Arial" w:hAnsi="Arial"/>
          <w:color w:val="002c9d"/>
          <w:sz w:val="20"/>
          <w:szCs w:val="20"/>
          <w:u w:color="002c9d"/>
          <w:rtl w:val="0"/>
        </w:rPr>
        <w:t>www.iqvia.com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