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120" w:line="254" w:lineRule="auto"/>
        <w:rPr>
          <w:rStyle w:val="Ohne A"/>
          <w:b w:val="1"/>
          <w:bCs w:val="1"/>
          <w:i w:val="1"/>
          <w:iCs w:val="1"/>
          <w:sz w:val="28"/>
          <w:szCs w:val="28"/>
        </w:rPr>
      </w:pPr>
      <w:r>
        <w:rPr>
          <w:rStyle w:val="Ohne A"/>
          <w:b w:val="1"/>
          <w:bCs w:val="1"/>
          <w:i w:val="1"/>
          <w:iCs w:val="1"/>
          <w:sz w:val="28"/>
          <w:szCs w:val="28"/>
          <w:rtl w:val="0"/>
          <w:lang w:val="de-DE"/>
        </w:rPr>
        <w:t>Presseinformation</w:t>
      </w:r>
    </w:p>
    <w:p>
      <w:pPr>
        <w:pStyle w:val="Normal.0"/>
        <w:spacing w:after="120" w:line="254" w:lineRule="auto"/>
        <w:rPr>
          <w:rStyle w:val="Ohne A"/>
          <w:b w:val="1"/>
          <w:bCs w:val="1"/>
          <w:sz w:val="28"/>
          <w:szCs w:val="28"/>
        </w:rPr>
      </w:pPr>
      <w:r>
        <w:rPr>
          <w:rStyle w:val="Ohne A"/>
          <w:b w:val="1"/>
          <w:bCs w:val="1"/>
          <w:sz w:val="28"/>
          <w:szCs w:val="28"/>
          <w:rtl w:val="0"/>
          <w:lang w:val="de-DE"/>
        </w:rPr>
        <w:t>Produktverkauf zur Raucherentw</w:t>
      </w:r>
      <w:r>
        <w:rPr>
          <w:rStyle w:val="Ohne A"/>
          <w:b w:val="1"/>
          <w:bCs w:val="1"/>
          <w:sz w:val="28"/>
          <w:szCs w:val="28"/>
          <w:rtl w:val="0"/>
          <w:lang w:val="de-DE"/>
        </w:rPr>
        <w:t>ö</w:t>
      </w:r>
      <w:r>
        <w:rPr>
          <w:rStyle w:val="Ohne A"/>
          <w:b w:val="1"/>
          <w:bCs w:val="1"/>
          <w:sz w:val="28"/>
          <w:szCs w:val="28"/>
          <w:rtl w:val="0"/>
          <w:lang w:val="de-DE"/>
        </w:rPr>
        <w:t xml:space="preserve">hnung </w:t>
      </w:r>
      <w:r>
        <w:rPr>
          <w:rStyle w:val="Ohne A"/>
          <w:b w:val="1"/>
          <w:bCs w:val="1"/>
          <w:sz w:val="28"/>
          <w:szCs w:val="28"/>
          <w:rtl w:val="0"/>
          <w:lang w:val="de-DE"/>
        </w:rPr>
        <w:t xml:space="preserve">– </w:t>
      </w:r>
      <w:r>
        <w:rPr>
          <w:rStyle w:val="Ohne A"/>
          <w:b w:val="1"/>
          <w:bCs w:val="1"/>
          <w:sz w:val="28"/>
          <w:szCs w:val="28"/>
          <w:rtl w:val="0"/>
          <w:lang w:val="de-DE"/>
        </w:rPr>
        <w:t>stagnierende Nachfrage auf hohem Niveau</w:t>
      </w:r>
    </w:p>
    <w:p>
      <w:pPr>
        <w:pStyle w:val="Normal.0"/>
        <w:spacing w:after="120" w:line="254" w:lineRule="auto"/>
        <w:rPr>
          <w:rStyle w:val="Ohne A"/>
          <w:i w:val="1"/>
          <w:iCs w:val="1"/>
        </w:rPr>
      </w:pPr>
      <w:r>
        <w:rPr>
          <w:rStyle w:val="Ohne A"/>
          <w:i w:val="1"/>
          <w:iCs w:val="1"/>
          <w:rtl w:val="0"/>
          <w:lang w:val="de-DE"/>
        </w:rPr>
        <w:t xml:space="preserve">Die breite Diskussion </w:t>
      </w:r>
      <w:r>
        <w:rPr>
          <w:rStyle w:val="Ohne A"/>
          <w:i w:val="1"/>
          <w:iCs w:val="1"/>
          <w:rtl w:val="0"/>
          <w:lang w:val="de-DE"/>
        </w:rPr>
        <w:t>ü</w:t>
      </w:r>
      <w:r>
        <w:rPr>
          <w:rStyle w:val="Ohne A"/>
          <w:i w:val="1"/>
          <w:iCs w:val="1"/>
          <w:rtl w:val="0"/>
          <w:lang w:val="de-DE"/>
        </w:rPr>
        <w:t xml:space="preserve">ber Rauchverbote, deren Aufhebung sowie das laufende Volksbegehren haben einen positiven Nebeneffekt: Rauchende </w:t>
      </w:r>
      <w:r>
        <w:rPr>
          <w:rStyle w:val="Ohne A"/>
          <w:i w:val="1"/>
          <w:iCs w:val="1"/>
          <w:rtl w:val="0"/>
          <w:lang w:val="de-DE"/>
        </w:rPr>
        <w:t>Ö</w:t>
      </w:r>
      <w:r>
        <w:rPr>
          <w:rStyle w:val="Ohne A"/>
          <w:i w:val="1"/>
          <w:iCs w:val="1"/>
          <w:rtl w:val="0"/>
          <w:lang w:val="de-DE"/>
        </w:rPr>
        <w:t>sterreicher holen sich Hilfe zur Nikotinentw</w:t>
      </w:r>
      <w:r>
        <w:rPr>
          <w:rStyle w:val="Ohne A"/>
          <w:i w:val="1"/>
          <w:iCs w:val="1"/>
          <w:rtl w:val="0"/>
          <w:lang w:val="de-DE"/>
        </w:rPr>
        <w:t>ö</w:t>
      </w:r>
      <w:r>
        <w:rPr>
          <w:rStyle w:val="Ohne A"/>
          <w:i w:val="1"/>
          <w:iCs w:val="1"/>
          <w:rtl w:val="0"/>
          <w:lang w:val="de-DE"/>
        </w:rPr>
        <w:t>hnung. Entsprechende Produkte verzeichnen laut IQVIA PharmaTrend Umsatzzuw</w:t>
      </w:r>
      <w:r>
        <w:rPr>
          <w:rStyle w:val="Ohne A"/>
          <w:i w:val="1"/>
          <w:iCs w:val="1"/>
          <w:rtl w:val="0"/>
          <w:lang w:val="de-DE"/>
        </w:rPr>
        <w:t>ä</w:t>
      </w:r>
      <w:r>
        <w:rPr>
          <w:rStyle w:val="Ohne A"/>
          <w:i w:val="1"/>
          <w:iCs w:val="1"/>
          <w:rtl w:val="0"/>
          <w:lang w:val="de-DE"/>
        </w:rPr>
        <w:t>chse.</w:t>
      </w:r>
    </w:p>
    <w:p>
      <w:pPr>
        <w:pStyle w:val="No Spacing"/>
        <w:spacing w:after="120" w:line="254" w:lineRule="auto"/>
      </w:pPr>
      <w:r>
        <w:rPr>
          <w:rtl w:val="0"/>
          <w:lang w:val="de-DE"/>
        </w:rPr>
        <w:t>Wien, 21. 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rz 2018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Insgesamt zeigt das Trendbarometer beim Absatz von Nikotin-Entw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hnungsprodukten mit 1,5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% im Vergleich zum Vorjahr leicht nach oben. Apotheken sehen eine fast stagnierende Nachfrage auf hohem Niveau.</w:t>
      </w:r>
    </w:p>
    <w:p>
      <w:pPr>
        <w:pStyle w:val="Normal.0"/>
        <w:spacing w:after="120" w:line="254" w:lineRule="auto"/>
        <w:rPr>
          <w:rStyle w:val="Ohne A"/>
          <w:b w:val="1"/>
          <w:bCs w:val="1"/>
        </w:rPr>
      </w:pPr>
      <w:r>
        <w:rPr>
          <w:rStyle w:val="Ohne A"/>
          <w:b w:val="1"/>
          <w:bCs w:val="1"/>
          <w:rtl w:val="0"/>
          <w:lang w:val="de-DE"/>
        </w:rPr>
        <w:t>Nikotinentw</w:t>
      </w:r>
      <w:r>
        <w:rPr>
          <w:rStyle w:val="Ohne A"/>
          <w:b w:val="1"/>
          <w:bCs w:val="1"/>
          <w:rtl w:val="0"/>
          <w:lang w:val="de-DE"/>
        </w:rPr>
        <w:t>ö</w:t>
      </w:r>
      <w:r>
        <w:rPr>
          <w:rStyle w:val="Ohne A"/>
          <w:b w:val="1"/>
          <w:bCs w:val="1"/>
          <w:rtl w:val="0"/>
          <w:lang w:val="de-DE"/>
        </w:rPr>
        <w:t>hnung mit leichtem Plus</w:t>
      </w:r>
    </w:p>
    <w:p>
      <w:pPr>
        <w:pStyle w:val="No Spacing"/>
        <w:spacing w:after="120" w:line="254" w:lineRule="auto"/>
      </w:pPr>
      <w:r>
        <w:rPr>
          <w:rtl w:val="0"/>
          <w:lang w:val="de-DE"/>
        </w:rPr>
        <w:t>Beobachtet wurde von IQVIA PharmaTrend der Zeitraum 2013 bis 2017. IQVIA geht von einem Umsatzgesamtvolumen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Nikotin-Entw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hnungsprodukte von EUR 12,39 Mio. im Jahr 2013 aus, das anhand der hochgerechneten Verkaufszahlen der 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ffentlichen 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sterreichischen Apotheken errechnet wurde. 2014 kam es zu einer vor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bergehenden Steigerung um 3,5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% gegen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dem Vorjahreswert, bevor ab Oktober 2015 das Verkaufsverbot von E-Zigaretten in Apotheken zu einer Reduktion um 4,2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%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hrte. Im Anschluss setzte jedoch eine bis heute nachhaltige Steigerung der Verkaufszahlen von signifikanten 7,1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% bis 2016 und um weitere 1,5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 xml:space="preserve">% bis 2017 auf EUR 13,35 Mio. jeweils im Vergleich zum Vorjahr ein. </w:t>
      </w:r>
    </w:p>
    <w:p>
      <w:pPr>
        <w:pStyle w:val="Normal.0"/>
        <w:spacing w:after="120" w:line="254" w:lineRule="auto"/>
        <w:rPr>
          <w:rStyle w:val="Ohne A"/>
          <w:b w:val="1"/>
          <w:bCs w:val="1"/>
        </w:rPr>
      </w:pPr>
      <w:r>
        <w:rPr>
          <w:rStyle w:val="Ohne A"/>
          <w:b w:val="1"/>
          <w:bCs w:val="1"/>
          <w:rtl w:val="0"/>
          <w:lang w:val="de-DE"/>
        </w:rPr>
        <w:t>Marktwachstum f</w:t>
      </w:r>
      <w:r>
        <w:rPr>
          <w:rStyle w:val="Ohne A"/>
          <w:b w:val="1"/>
          <w:bCs w:val="1"/>
          <w:rtl w:val="0"/>
          <w:lang w:val="de-DE"/>
        </w:rPr>
        <w:t>ü</w:t>
      </w:r>
      <w:r>
        <w:rPr>
          <w:rStyle w:val="Ohne A"/>
          <w:b w:val="1"/>
          <w:bCs w:val="1"/>
          <w:rtl w:val="0"/>
          <w:lang w:val="de-DE"/>
        </w:rPr>
        <w:t>r bekannte Namen</w:t>
      </w:r>
    </w:p>
    <w:p>
      <w:pPr>
        <w:pStyle w:val="No Spacing"/>
        <w:spacing w:after="120" w:line="254" w:lineRule="auto"/>
      </w:pPr>
      <w:r>
        <w:rPr>
          <w:rtl w:val="0"/>
          <w:lang w:val="de-DE"/>
        </w:rPr>
        <w:t>Die IQVIA-Analyse der Top 10 Produkte im Markt der Raucherentw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hnung ergab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das Gesamtjahr 2017 einen herausragenden Marktanteil von 95,7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%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Marktf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hrer Nicorette. Dahinter folgen Nicotinell mit 3,6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% Marktanteil und weitere Produkte mit geringen Anteilen. Insgesamt wuchs der Markt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Raucherentw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hnungsprodukte im Vergleich zum Vorjahr um 1,5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%.</w:t>
      </w:r>
    </w:p>
    <w:p>
      <w:pPr>
        <w:pStyle w:val="Normal.0"/>
        <w:spacing w:after="120" w:line="254" w:lineRule="auto"/>
      </w:pPr>
    </w:p>
    <w:p>
      <w:pPr>
        <w:pStyle w:val="Normal.0"/>
        <w:spacing w:after="120" w:line="254" w:lineRule="auto"/>
        <w:rPr>
          <w:rStyle w:val="Ohne A"/>
          <w:b w:val="1"/>
          <w:bCs w:val="1"/>
          <w:sz w:val="18"/>
          <w:szCs w:val="18"/>
        </w:rPr>
      </w:pPr>
      <w:r>
        <w:rPr>
          <w:rStyle w:val="Ohne A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Ohne A"/>
          <w:b w:val="1"/>
          <w:bCs w:val="1"/>
          <w:sz w:val="18"/>
          <w:szCs w:val="18"/>
          <w:rtl w:val="0"/>
          <w:lang w:val="de-DE"/>
        </w:rPr>
        <w:t>ber IQVIA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120" w:line="254" w:lineRule="auto"/>
        <w:rPr>
          <w:rStyle w:val="Ohne A"/>
          <w:sz w:val="18"/>
          <w:szCs w:val="18"/>
        </w:rPr>
      </w:pPr>
      <w:r>
        <w:rPr>
          <w:rStyle w:val="Ohne A"/>
          <w:sz w:val="18"/>
          <w:szCs w:val="18"/>
          <w:rtl w:val="0"/>
          <w:lang w:val="de-DE"/>
        </w:rPr>
        <w:t>IQVIA [sprich: aiku:via] ist ein f</w:t>
      </w:r>
      <w:r>
        <w:rPr>
          <w:rStyle w:val="Ohne A"/>
          <w:sz w:val="18"/>
          <w:szCs w:val="18"/>
          <w:rtl w:val="0"/>
          <w:lang w:val="de-DE"/>
        </w:rPr>
        <w:t>ü</w:t>
      </w:r>
      <w:r>
        <w:rPr>
          <w:rStyle w:val="Ohne A"/>
          <w:sz w:val="18"/>
          <w:szCs w:val="18"/>
          <w:rtl w:val="0"/>
          <w:lang w:val="de-DE"/>
        </w:rPr>
        <w:t>hrender, globaler Anbieter von Informationen, innovativen Technologiel</w:t>
      </w:r>
      <w:r>
        <w:rPr>
          <w:rStyle w:val="Ohne A"/>
          <w:sz w:val="18"/>
          <w:szCs w:val="18"/>
          <w:rtl w:val="0"/>
          <w:lang w:val="de-DE"/>
        </w:rPr>
        <w:t>ö</w:t>
      </w:r>
      <w:r>
        <w:rPr>
          <w:rStyle w:val="Ohne A"/>
          <w:sz w:val="18"/>
          <w:szCs w:val="18"/>
          <w:rtl w:val="0"/>
          <w:lang w:val="de-DE"/>
        </w:rPr>
        <w:t>sungen und Serviceleistungen im Bereich der Kommerzialisierung im Gesundheitswesen und klinischen Auftragsforschung. Das Unternehmen nutzt Daten und wissenschaftliche Methoden, um Akteure in der Gesundheitsbranche darin zu unterst</w:t>
      </w:r>
      <w:r>
        <w:rPr>
          <w:rStyle w:val="Ohne A"/>
          <w:sz w:val="18"/>
          <w:szCs w:val="18"/>
          <w:rtl w:val="0"/>
          <w:lang w:val="de-DE"/>
        </w:rPr>
        <w:t>ü</w:t>
      </w:r>
      <w:r>
        <w:rPr>
          <w:rStyle w:val="Ohne A"/>
          <w:sz w:val="18"/>
          <w:szCs w:val="18"/>
          <w:rtl w:val="0"/>
          <w:lang w:val="de-DE"/>
        </w:rPr>
        <w:t>tzen, bessere L</w:t>
      </w:r>
      <w:r>
        <w:rPr>
          <w:rStyle w:val="Ohne A"/>
          <w:sz w:val="18"/>
          <w:szCs w:val="18"/>
          <w:rtl w:val="0"/>
          <w:lang w:val="de-DE"/>
        </w:rPr>
        <w:t>ö</w:t>
      </w:r>
      <w:r>
        <w:rPr>
          <w:rStyle w:val="Ohne A"/>
          <w:sz w:val="18"/>
          <w:szCs w:val="18"/>
          <w:rtl w:val="0"/>
          <w:lang w:val="de-DE"/>
        </w:rPr>
        <w:t>sungen f</w:t>
      </w:r>
      <w:r>
        <w:rPr>
          <w:rStyle w:val="Ohne A"/>
          <w:sz w:val="18"/>
          <w:szCs w:val="18"/>
          <w:rtl w:val="0"/>
          <w:lang w:val="de-DE"/>
        </w:rPr>
        <w:t>ü</w:t>
      </w:r>
      <w:r>
        <w:rPr>
          <w:rStyle w:val="Ohne A"/>
          <w:sz w:val="18"/>
          <w:szCs w:val="18"/>
          <w:rtl w:val="0"/>
          <w:lang w:val="de-DE"/>
        </w:rPr>
        <w:t>r ihre Kunden zu finden und erm</w:t>
      </w:r>
      <w:r>
        <w:rPr>
          <w:rStyle w:val="Ohne A"/>
          <w:sz w:val="18"/>
          <w:szCs w:val="18"/>
          <w:rtl w:val="0"/>
          <w:lang w:val="de-DE"/>
        </w:rPr>
        <w:t>ö</w:t>
      </w:r>
      <w:r>
        <w:rPr>
          <w:rStyle w:val="Ohne A"/>
          <w:sz w:val="18"/>
          <w:szCs w:val="18"/>
          <w:rtl w:val="0"/>
          <w:lang w:val="de-DE"/>
        </w:rPr>
        <w:t>glicht es Unternehmen, ihre Konzepte von klinischer Entwicklung und Vermarktung zu optimieren, Innovationen zu f</w:t>
      </w:r>
      <w:r>
        <w:rPr>
          <w:rStyle w:val="Ohne A"/>
          <w:sz w:val="18"/>
          <w:szCs w:val="18"/>
          <w:rtl w:val="0"/>
          <w:lang w:val="de-DE"/>
        </w:rPr>
        <w:t>ö</w:t>
      </w:r>
      <w:r>
        <w:rPr>
          <w:rStyle w:val="Ohne A"/>
          <w:sz w:val="18"/>
          <w:szCs w:val="18"/>
          <w:rtl w:val="0"/>
          <w:lang w:val="de-DE"/>
        </w:rPr>
        <w:t>rdern und aussagekr</w:t>
      </w:r>
      <w:r>
        <w:rPr>
          <w:rStyle w:val="Ohne A"/>
          <w:sz w:val="18"/>
          <w:szCs w:val="18"/>
          <w:rtl w:val="0"/>
          <w:lang w:val="de-DE"/>
        </w:rPr>
        <w:t>ä</w:t>
      </w:r>
      <w:r>
        <w:rPr>
          <w:rStyle w:val="Ohne A"/>
          <w:sz w:val="18"/>
          <w:szCs w:val="18"/>
          <w:rtl w:val="0"/>
          <w:lang w:val="de-DE"/>
        </w:rPr>
        <w:t>ftige Resultate zu erzielen.</w:t>
      </w:r>
      <w:r>
        <w:rPr>
          <w:rStyle w:val="Ohne A"/>
          <w:rFonts w:ascii="Arial Unicode MS" w:cs="Arial Unicode MS" w:hAnsi="Arial Unicode MS" w:eastAsia="Arial Unicode MS"/>
          <w:sz w:val="18"/>
          <w:szCs w:val="18"/>
        </w:rPr>
        <w:br w:type="textWrapping"/>
      </w:r>
      <w:r>
        <w:rPr>
          <w:rStyle w:val="Ohne A"/>
          <w:sz w:val="18"/>
          <w:szCs w:val="18"/>
          <w:rtl w:val="0"/>
          <w:lang w:val="de-DE"/>
        </w:rPr>
        <w:t>IQVIA entstand durch den Zusammenschluss von IMS Health und Quintiles. Das Unternehmen besch</w:t>
      </w:r>
      <w:r>
        <w:rPr>
          <w:rStyle w:val="Ohne A"/>
          <w:sz w:val="18"/>
          <w:szCs w:val="18"/>
          <w:rtl w:val="0"/>
          <w:lang w:val="de-DE"/>
        </w:rPr>
        <w:t>ä</w:t>
      </w:r>
      <w:r>
        <w:rPr>
          <w:rStyle w:val="Ohne A"/>
          <w:sz w:val="18"/>
          <w:szCs w:val="18"/>
          <w:rtl w:val="0"/>
          <w:lang w:val="de-DE"/>
        </w:rPr>
        <w:t xml:space="preserve">ftigt rund 55.000 Mitarbeiter in </w:t>
      </w:r>
      <w:r>
        <w:rPr>
          <w:rStyle w:val="Ohne A"/>
          <w:sz w:val="18"/>
          <w:szCs w:val="18"/>
          <w:rtl w:val="0"/>
          <w:lang w:val="de-DE"/>
        </w:rPr>
        <w:t>ü</w:t>
      </w:r>
      <w:r>
        <w:rPr>
          <w:rStyle w:val="Ohne A"/>
          <w:sz w:val="18"/>
          <w:szCs w:val="18"/>
          <w:rtl w:val="0"/>
          <w:lang w:val="de-DE"/>
        </w:rPr>
        <w:t>ber 100 L</w:t>
      </w:r>
      <w:r>
        <w:rPr>
          <w:rStyle w:val="Ohne A"/>
          <w:sz w:val="18"/>
          <w:szCs w:val="18"/>
          <w:rtl w:val="0"/>
          <w:lang w:val="de-DE"/>
        </w:rPr>
        <w:t>ä</w:t>
      </w:r>
      <w:r>
        <w:rPr>
          <w:rStyle w:val="Ohne A"/>
          <w:sz w:val="18"/>
          <w:szCs w:val="18"/>
          <w:rtl w:val="0"/>
          <w:lang w:val="de-DE"/>
        </w:rPr>
        <w:t xml:space="preserve">ndern. Die </w:t>
      </w:r>
      <w:r>
        <w:rPr>
          <w:rStyle w:val="Ohne A"/>
          <w:sz w:val="18"/>
          <w:szCs w:val="18"/>
          <w:rtl w:val="0"/>
          <w:lang w:val="de-DE"/>
        </w:rPr>
        <w:t>ö</w:t>
      </w:r>
      <w:r>
        <w:rPr>
          <w:rStyle w:val="Ohne A"/>
          <w:sz w:val="18"/>
          <w:szCs w:val="18"/>
          <w:rtl w:val="0"/>
          <w:lang w:val="de-DE"/>
        </w:rPr>
        <w:t>sterreichische Niederlassung unter der Gesch</w:t>
      </w:r>
      <w:r>
        <w:rPr>
          <w:rStyle w:val="Ohne A"/>
          <w:sz w:val="18"/>
          <w:szCs w:val="18"/>
          <w:rtl w:val="0"/>
          <w:lang w:val="de-DE"/>
        </w:rPr>
        <w:t>ä</w:t>
      </w:r>
      <w:r>
        <w:rPr>
          <w:rStyle w:val="Ohne A"/>
          <w:sz w:val="18"/>
          <w:szCs w:val="18"/>
          <w:rtl w:val="0"/>
          <w:lang w:val="de-DE"/>
        </w:rPr>
        <w:t>ftsf</w:t>
      </w:r>
      <w:r>
        <w:rPr>
          <w:rStyle w:val="Ohne A"/>
          <w:sz w:val="18"/>
          <w:szCs w:val="18"/>
          <w:rtl w:val="0"/>
          <w:lang w:val="de-DE"/>
        </w:rPr>
        <w:t>ü</w:t>
      </w:r>
      <w:r>
        <w:rPr>
          <w:rStyle w:val="Ohne A"/>
          <w:sz w:val="18"/>
          <w:szCs w:val="18"/>
          <w:rtl w:val="0"/>
          <w:lang w:val="de-DE"/>
        </w:rPr>
        <w:t>hrung von Dr. Martin Spatz konzentriert ihre Aktivit</w:t>
      </w:r>
      <w:r>
        <w:rPr>
          <w:rStyle w:val="Ohne A"/>
          <w:sz w:val="18"/>
          <w:szCs w:val="18"/>
          <w:rtl w:val="0"/>
          <w:lang w:val="de-DE"/>
        </w:rPr>
        <w:t>ä</w:t>
      </w:r>
      <w:r>
        <w:rPr>
          <w:rStyle w:val="Ohne A"/>
          <w:sz w:val="18"/>
          <w:szCs w:val="18"/>
          <w:rtl w:val="0"/>
          <w:lang w:val="de-DE"/>
        </w:rPr>
        <w:t>ten auf Dienstleistungen in den Bereichen Marktforschung, Beratung und Kommerzialisierung sowie Auftragsforschung die f</w:t>
      </w:r>
      <w:r>
        <w:rPr>
          <w:rStyle w:val="Ohne A"/>
          <w:sz w:val="18"/>
          <w:szCs w:val="18"/>
          <w:rtl w:val="0"/>
          <w:lang w:val="de-DE"/>
        </w:rPr>
        <w:t>ü</w:t>
      </w:r>
      <w:r>
        <w:rPr>
          <w:rStyle w:val="Ohne A"/>
          <w:sz w:val="18"/>
          <w:szCs w:val="18"/>
          <w:rtl w:val="0"/>
          <w:lang w:val="de-DE"/>
        </w:rPr>
        <w:t>r den heimischen Gesundheitssektor von Interesse sind.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120" w:line="254" w:lineRule="auto"/>
      </w:pPr>
      <w:r>
        <w:rPr>
          <w:rStyle w:val="Ohne A"/>
          <w:sz w:val="18"/>
          <w:szCs w:val="18"/>
          <w:rtl w:val="0"/>
          <w:lang w:val="de-DE"/>
        </w:rPr>
        <w:t>IQVIA Austria</w:t>
      </w:r>
      <w:r>
        <w:rPr>
          <w:rStyle w:val="Ohne A"/>
          <w:rFonts w:ascii="Arial Unicode MS" w:cs="Arial Unicode MS" w:hAnsi="Arial Unicode MS" w:eastAsia="Arial Unicode MS"/>
          <w:sz w:val="18"/>
          <w:szCs w:val="18"/>
          <w:lang w:val="de-DE"/>
        </w:rPr>
        <w:br w:type="textWrapping"/>
      </w:r>
      <w:r>
        <w:rPr>
          <w:rStyle w:val="Ohne A"/>
          <w:sz w:val="18"/>
          <w:szCs w:val="18"/>
          <w:rtl w:val="0"/>
          <w:lang w:val="de-DE"/>
        </w:rPr>
        <w:t>Alexander Till</w:t>
      </w:r>
      <w:r>
        <w:rPr>
          <w:rStyle w:val="Ohne A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lang w:val="de-DE"/>
        </w:rPr>
        <w:br w:type="textWrapping"/>
      </w:r>
      <w:r>
        <w:rPr>
          <w:rStyle w:val="Ohne A"/>
          <w:sz w:val="18"/>
          <w:szCs w:val="18"/>
          <w:rtl w:val="0"/>
          <w:lang w:val="de-DE"/>
        </w:rPr>
        <w:t>Manager Marketing and Communications, IQVIA</w:t>
      </w:r>
      <w:r>
        <w:rPr>
          <w:rStyle w:val="Ohne A"/>
          <w:sz w:val="18"/>
          <w:szCs w:val="18"/>
          <w:rtl w:val="0"/>
          <w:lang w:val="de-DE"/>
        </w:rPr>
        <w:t>™</w:t>
      </w:r>
      <w:r>
        <w:rPr>
          <w:rStyle w:val="Ohne A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lang w:val="de-DE"/>
        </w:rPr>
        <w:br w:type="textWrapping"/>
      </w:r>
      <w:r>
        <w:rPr>
          <w:rStyle w:val="Ohne A"/>
          <w:sz w:val="18"/>
          <w:szCs w:val="18"/>
          <w:rtl w:val="0"/>
          <w:lang w:val="de-DE"/>
        </w:rPr>
        <w:t>Stella-Klein-L</w:t>
      </w:r>
      <w:r>
        <w:rPr>
          <w:rStyle w:val="Ohne A"/>
          <w:sz w:val="18"/>
          <w:szCs w:val="18"/>
          <w:rtl w:val="0"/>
          <w:lang w:val="de-DE"/>
        </w:rPr>
        <w:t>ö</w:t>
      </w:r>
      <w:r>
        <w:rPr>
          <w:rStyle w:val="Ohne A"/>
          <w:sz w:val="18"/>
          <w:szCs w:val="18"/>
          <w:rtl w:val="0"/>
          <w:lang w:val="de-DE"/>
        </w:rPr>
        <w:t>w-Weg 15, Haus B, 5. Stock, A-1020 Wien</w:t>
      </w:r>
      <w:r>
        <w:rPr>
          <w:rStyle w:val="Ohne A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lang w:val="de-DE"/>
        </w:rPr>
        <w:br w:type="textWrapping"/>
      </w:r>
      <w:r>
        <w:rPr>
          <w:rStyle w:val="Ohne A"/>
          <w:sz w:val="18"/>
          <w:szCs w:val="18"/>
          <w:rtl w:val="0"/>
          <w:lang w:val="de-DE"/>
        </w:rPr>
        <w:t>M: +43 (0) 664 80002 321 I E: alexander.till@iqvia.com</w:t>
      </w:r>
      <w:r>
        <w:rPr>
          <w:rStyle w:val="Ohne A"/>
          <w:rFonts w:ascii="Arial Unicode MS" w:cs="Arial Unicode MS" w:hAnsi="Arial Unicode MS" w:eastAsia="Arial Unicode MS"/>
          <w:sz w:val="18"/>
          <w:szCs w:val="18"/>
          <w:lang w:val="en-US"/>
        </w:rPr>
        <w:br w:type="textWrapping"/>
      </w:r>
      <w:r>
        <w:rPr>
          <w:rStyle w:val="Hyperlink.0"/>
          <w:color w:val="0563c1"/>
          <w:sz w:val="18"/>
          <w:szCs w:val="18"/>
          <w:u w:val="single" w:color="0563c1"/>
          <w:lang w:val="en-US"/>
        </w:rPr>
        <w:fldChar w:fldCharType="begin" w:fldLock="0"/>
      </w:r>
      <w:r>
        <w:rPr>
          <w:rStyle w:val="Hyperlink.0"/>
          <w:color w:val="0563c1"/>
          <w:sz w:val="18"/>
          <w:szCs w:val="18"/>
          <w:u w:val="single" w:color="0563c1"/>
          <w:lang w:val="en-US"/>
        </w:rPr>
        <w:instrText xml:space="preserve"> HYPERLINK "http://www.iqvia.com"</w:instrText>
      </w:r>
      <w:r>
        <w:rPr>
          <w:rStyle w:val="Hyperlink.0"/>
          <w:color w:val="0563c1"/>
          <w:sz w:val="18"/>
          <w:szCs w:val="18"/>
          <w:u w:val="single" w:color="0563c1"/>
          <w:lang w:val="en-US"/>
        </w:rPr>
        <w:fldChar w:fldCharType="separate" w:fldLock="0"/>
      </w:r>
      <w:r>
        <w:rPr>
          <w:rStyle w:val="Hyperlink.0"/>
          <w:color w:val="0563c1"/>
          <w:sz w:val="18"/>
          <w:szCs w:val="18"/>
          <w:u w:val="single" w:color="0563c1"/>
          <w:rtl w:val="0"/>
          <w:lang w:val="en-US"/>
        </w:rPr>
        <w:t>www.iqvia.com</w:t>
      </w:r>
      <w:r>
        <w:rPr/>
        <w:fldChar w:fldCharType="end" w:fldLock="0"/>
      </w:r>
      <w:r>
        <w:rPr>
          <w:rStyle w:val="Ohne A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Ohne A">
    <w:name w:val="Ohne A"/>
    <w:rPr>
      <w:lang w:val="de-D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Hyperlink.0">
    <w:name w:val="Hyperlink.0"/>
    <w:basedOn w:val="Ohne A"/>
    <w:next w:val="Hyperlink.0"/>
    <w:rPr>
      <w:color w:val="0563c1"/>
      <w:sz w:val="18"/>
      <w:szCs w:val="18"/>
      <w:u w:val="single" w:color="0563c1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