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PRESSEMITTEILUNG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de-DE"/>
        </w:rPr>
        <w:t>Erstattungsmarkt 2018: erwartetes Wachstum knapp unter 5</w:t>
      </w:r>
      <w:r>
        <w:rPr>
          <w:b w:val="1"/>
          <w:bCs w:val="1"/>
          <w:rtl w:val="0"/>
          <w:lang w:val="de-DE"/>
        </w:rPr>
        <w:t> </w:t>
      </w:r>
      <w:r>
        <w:rPr>
          <w:b w:val="1"/>
          <w:bCs w:val="1"/>
          <w:rtl w:val="0"/>
          <w:lang w:val="de-DE"/>
        </w:rPr>
        <w:t>%!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 xml:space="preserve">Wien, </w:t>
      </w:r>
      <w:r>
        <w:rPr>
          <w:rtl w:val="0"/>
        </w:rPr>
        <w:t xml:space="preserve">10. </w:t>
      </w:r>
      <w:r>
        <w:rPr>
          <w:rtl w:val="0"/>
        </w:rPr>
        <w:t xml:space="preserve">April 2018 </w:t>
      </w:r>
      <w:r>
        <w:rPr>
          <w:rtl w:val="0"/>
        </w:rPr>
        <w:t xml:space="preserve">– </w:t>
      </w:r>
      <w:r>
        <w:rPr>
          <w:rtl w:val="0"/>
        </w:rPr>
        <w:t>Das auf Kommerzialisierung im Bereich Life Sciences spezialisierte internationale Beratungsunternehmen IQVIA (ehemals QuintilesIMS) hat das Wachstum des erstattungsf</w:t>
      </w:r>
      <w:r>
        <w:rPr>
          <w:rtl w:val="0"/>
        </w:rPr>
        <w:t>ä</w:t>
      </w:r>
      <w:r>
        <w:rPr>
          <w:rtl w:val="0"/>
        </w:rPr>
        <w:t xml:space="preserve">higen Pharmamarktes in </w:t>
      </w:r>
      <w:r>
        <w:rPr>
          <w:rtl w:val="0"/>
        </w:rPr>
        <w:t>Ö</w:t>
      </w:r>
      <w:r>
        <w:rPr>
          <w:rtl w:val="0"/>
        </w:rPr>
        <w:t>sterreich f</w:t>
      </w:r>
      <w:r>
        <w:rPr>
          <w:rtl w:val="0"/>
        </w:rPr>
        <w:t>ü</w:t>
      </w:r>
      <w:r>
        <w:rPr>
          <w:rtl w:val="0"/>
        </w:rPr>
        <w:t>r das Jahr 2018 in einem eigens entwickelten Prognosemodell ermittelt. Das damit berechnete Umsatzwachstum, bewertet zum Fabriksabgabepreis (FAP), liegt bei 4,2 bis 4,7</w:t>
      </w:r>
      <w:r>
        <w:rPr>
          <w:rtl w:val="0"/>
        </w:rPr>
        <w:t> </w:t>
      </w:r>
      <w:r>
        <w:rPr>
          <w:rtl w:val="0"/>
        </w:rPr>
        <w:t>% im Vergleich zum Vorjahr und wird damit etwas geringer als im Jahr 2017 ausfallen.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Die dem Modell zugrunde liegende Datenquelle ist die innovative Datenbank </w:t>
      </w:r>
      <w:r>
        <w:rPr>
          <w:rtl w:val="0"/>
        </w:rPr>
        <w:t>„</w:t>
      </w:r>
      <w:r>
        <w:rPr>
          <w:rtl w:val="0"/>
        </w:rPr>
        <w:t>DPM</w:t>
      </w:r>
      <w:r>
        <w:rPr>
          <w:rtl w:val="0"/>
        </w:rPr>
        <w:t xml:space="preserve">Ö </w:t>
      </w:r>
      <w:r>
        <w:rPr>
          <w:rtl w:val="0"/>
        </w:rPr>
        <w:t>Next Level</w:t>
      </w:r>
      <w:r>
        <w:rPr>
          <w:rtl w:val="0"/>
        </w:rPr>
        <w:t>“</w:t>
      </w:r>
      <w:r>
        <w:rPr>
          <w:rtl w:val="0"/>
        </w:rPr>
        <w:t>, die zus</w:t>
      </w:r>
      <w:r>
        <w:rPr>
          <w:rtl w:val="0"/>
        </w:rPr>
        <w:t>ä</w:t>
      </w:r>
      <w:r>
        <w:rPr>
          <w:rtl w:val="0"/>
        </w:rPr>
        <w:t>tzlich zu den Gro</w:t>
      </w:r>
      <w:r>
        <w:rPr>
          <w:rtl w:val="0"/>
        </w:rPr>
        <w:t>ß</w:t>
      </w:r>
      <w:r>
        <w:rPr>
          <w:rtl w:val="0"/>
        </w:rPr>
        <w:t>handelsverk</w:t>
      </w:r>
      <w:r>
        <w:rPr>
          <w:rtl w:val="0"/>
        </w:rPr>
        <w:t>ä</w:t>
      </w:r>
      <w:r>
        <w:rPr>
          <w:rtl w:val="0"/>
        </w:rPr>
        <w:t xml:space="preserve">ufen an die </w:t>
      </w:r>
      <w:r>
        <w:rPr>
          <w:rtl w:val="0"/>
        </w:rPr>
        <w:t>ö</w:t>
      </w:r>
      <w:r>
        <w:rPr>
          <w:rtl w:val="0"/>
        </w:rPr>
        <w:t>ffentlichen Apotheken und Hausapotheken auch die Nischenm</w:t>
      </w:r>
      <w:r>
        <w:rPr>
          <w:rtl w:val="0"/>
        </w:rPr>
        <w:t>ä</w:t>
      </w:r>
      <w:r>
        <w:rPr>
          <w:rtl w:val="0"/>
        </w:rPr>
        <w:t>rkte (Direktlieferungen an die Apotheken) inkludiert. Zur Definition des erstattungsf</w:t>
      </w:r>
      <w:r>
        <w:rPr>
          <w:rtl w:val="0"/>
        </w:rPr>
        <w:t>ä</w:t>
      </w:r>
      <w:r>
        <w:rPr>
          <w:rtl w:val="0"/>
        </w:rPr>
        <w:t>higen Marktes wurden die Klassen G03A - hormonelle Kontrazeptiva, G04E - Produkte gegen Erektionsst</w:t>
      </w:r>
      <w:r>
        <w:rPr>
          <w:rtl w:val="0"/>
        </w:rPr>
        <w:t>ö</w:t>
      </w:r>
      <w:r>
        <w:rPr>
          <w:rtl w:val="0"/>
        </w:rPr>
        <w:t>rungen, J07B/D/E - bakterielle/virale/Mehrfachimpfstoffe und V01A - Allergene exkludiert.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Die Prognose wurde auf Erstattungsboxenebene nach verschiedenen Forecasting-Verfahren durchgef</w:t>
      </w:r>
      <w:r>
        <w:rPr>
          <w:rtl w:val="0"/>
        </w:rPr>
        <w:t>ü</w:t>
      </w:r>
      <w:r>
        <w:rPr>
          <w:rtl w:val="0"/>
        </w:rPr>
        <w:t>hrt. Dabei wurden bestimmte Einzeleffekte isoliert, wie zum Beispiel der Preisr</w:t>
      </w:r>
      <w:r>
        <w:rPr>
          <w:rtl w:val="0"/>
        </w:rPr>
        <w:t>ü</w:t>
      </w:r>
      <w:r>
        <w:rPr>
          <w:rtl w:val="0"/>
        </w:rPr>
        <w:t>ckgang und die Boxenstatus</w:t>
      </w:r>
      <w:r>
        <w:rPr>
          <w:rtl w:val="0"/>
        </w:rPr>
        <w:t>ä</w:t>
      </w:r>
      <w:r>
        <w:rPr>
          <w:rtl w:val="0"/>
        </w:rPr>
        <w:t>nderung von Glivec</w:t>
      </w:r>
      <w:r>
        <w:rPr>
          <w:rtl w:val="0"/>
        </w:rPr>
        <w:t xml:space="preserve">® </w:t>
      </w:r>
      <w:r>
        <w:rPr>
          <w:rtl w:val="0"/>
        </w:rPr>
        <w:t>und Biosimilars-Eintritte f</w:t>
      </w:r>
      <w:r>
        <w:rPr>
          <w:rtl w:val="0"/>
        </w:rPr>
        <w:t>ü</w:t>
      </w:r>
      <w:r>
        <w:rPr>
          <w:rtl w:val="0"/>
        </w:rPr>
        <w:t>r Enoxaparin, Adalimumab und Etanercept. Weiters wurde f</w:t>
      </w:r>
      <w:r>
        <w:rPr>
          <w:rtl w:val="0"/>
        </w:rPr>
        <w:t>ü</w:t>
      </w:r>
      <w:r>
        <w:rPr>
          <w:rtl w:val="0"/>
        </w:rPr>
        <w:t>r Pr</w:t>
      </w:r>
      <w:r>
        <w:rPr>
          <w:rtl w:val="0"/>
        </w:rPr>
        <w:t>ä</w:t>
      </w:r>
      <w:r>
        <w:rPr>
          <w:rtl w:val="0"/>
        </w:rPr>
        <w:t>parate mit einem Umsatz von mehr als EUR 750k im Jahr 2017 aus der No Box f</w:t>
      </w:r>
      <w:r>
        <w:rPr>
          <w:rtl w:val="0"/>
        </w:rPr>
        <w:t>ü</w:t>
      </w:r>
      <w:r>
        <w:rPr>
          <w:rtl w:val="0"/>
        </w:rPr>
        <w:t>r das Jahr 2018 der EU-Durchschnittspreis ber</w:t>
      </w:r>
      <w:r>
        <w:rPr>
          <w:rtl w:val="0"/>
        </w:rPr>
        <w:t>ü</w:t>
      </w:r>
      <w:r>
        <w:rPr>
          <w:rtl w:val="0"/>
        </w:rPr>
        <w:t>cksichtigt, wie dies die ASVG-Novelle aus 2017 vorsieht. Der Forecast ber</w:t>
      </w:r>
      <w:r>
        <w:rPr>
          <w:rtl w:val="0"/>
        </w:rPr>
        <w:t>ü</w:t>
      </w:r>
      <w:r>
        <w:rPr>
          <w:rtl w:val="0"/>
        </w:rPr>
        <w:t>cksichtigt keine Preismodelle und Solidarbeitr</w:t>
      </w:r>
      <w:r>
        <w:rPr>
          <w:rtl w:val="0"/>
        </w:rPr>
        <w:t>ä</w:t>
      </w:r>
      <w:r>
        <w:rPr>
          <w:rtl w:val="0"/>
        </w:rPr>
        <w:t>ge der pharmazeutischen Industrie, die absolute Umsatzsteigerungen zumindest teilweise kompensieren.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Die Entwicklung in der Gr</w:t>
      </w:r>
      <w:r>
        <w:rPr>
          <w:rtl w:val="0"/>
        </w:rPr>
        <w:t>ü</w:t>
      </w:r>
      <w:r>
        <w:rPr>
          <w:rtl w:val="0"/>
        </w:rPr>
        <w:t>nen Box wird der Erwartung nach leicht negativ ausfallen, die hellgelbe Box moderat und die dunkelgelbe Box wird in h</w:t>
      </w:r>
      <w:r>
        <w:rPr>
          <w:rtl w:val="0"/>
        </w:rPr>
        <w:t>ö</w:t>
      </w:r>
      <w:r>
        <w:rPr>
          <w:rtl w:val="0"/>
        </w:rPr>
        <w:t>herem Ma</w:t>
      </w:r>
      <w:r>
        <w:rPr>
          <w:rtl w:val="0"/>
        </w:rPr>
        <w:t>ß</w:t>
      </w:r>
      <w:r>
        <w:rPr>
          <w:rtl w:val="0"/>
        </w:rPr>
        <w:t>e wachsen. Die No Box ist entsprechend dem Effekt aus der ASVG-Novelle stark r</w:t>
      </w:r>
      <w:r>
        <w:rPr>
          <w:rtl w:val="0"/>
        </w:rPr>
        <w:t>ü</w:t>
      </w:r>
      <w:r>
        <w:rPr>
          <w:rtl w:val="0"/>
        </w:rPr>
        <w:t>ckl</w:t>
      </w:r>
      <w:r>
        <w:rPr>
          <w:rtl w:val="0"/>
        </w:rPr>
        <w:t>ä</w:t>
      </w:r>
      <w:r>
        <w:rPr>
          <w:rtl w:val="0"/>
        </w:rPr>
        <w:t>ufig.</w:t>
      </w: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  <w:lang w:val="de-DE"/>
        </w:rPr>
        <w:t>ber IQVIA</w:t>
      </w:r>
      <w:r>
        <w:rPr>
          <w:b w:val="1"/>
          <w:bCs w:val="1"/>
          <w:sz w:val="18"/>
          <w:szCs w:val="18"/>
          <w:vertAlign w:val="superscript"/>
          <w:rtl w:val="0"/>
          <w:lang w:val="de-DE"/>
        </w:rPr>
        <w:t>TM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IQVIA [sprich: aiku:via] ist ein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hrender, globaler Anbieter von Informationen, innovativen Technologiel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sungen und Serviceleistungen im Bereich der Kommerzialisierung im Gesundheitswesen und klinischen Auftragsforschung. Das Unternehmen nutzt Daten und wissenschaftliche Methoden, um Akteure in der Gesundheitsbranche darin zu unterst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tzen, bessere 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sungen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r ihre Kunden zu finden und erm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glicht es Unternehmen, ihre Konzepte von klinischer Entwicklung und Vermarktung zu optimieren, Innovationen zu f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rdern und aussagekr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ftige Resultate zu erzielen.</w:t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sz w:val="18"/>
          <w:szCs w:val="18"/>
          <w:rtl w:val="0"/>
          <w:lang w:val="de-DE"/>
        </w:rPr>
        <w:t>IQVIA entstand durch den Zusammenschluss von IMS Health und Quintiles. Das Unternehmen besch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 xml:space="preserve">ftigt rund 55.000 Mitarbeiter in 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ber 100 L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 xml:space="preserve">ndern. Die 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sterreichische Niederlassung unter der Gesch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ftsf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hrung von Dr. Martin Spatz konzentriert ihre Aktivit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ten auf Dienstleistungen in den Bereichen Marktforschung, Beratung und Kommerzialisierung sowie Auftragsforschung die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r den heimischen Gesundheitssektor von Interesse sind.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sz w:val="18"/>
          <w:szCs w:val="1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20" w:line="252" w:lineRule="auto"/>
      </w:pPr>
      <w:r>
        <w:rPr>
          <w:sz w:val="18"/>
          <w:szCs w:val="18"/>
          <w:rtl w:val="0"/>
          <w:lang w:val="de-DE"/>
        </w:rPr>
        <w:t>IQVIA Austria</w:t>
      </w:r>
      <w:r>
        <w:rPr>
          <w:rFonts w:ascii="Arial Unicode MS" w:cs="Arial Unicode MS" w:hAnsi="Arial Unicode MS" w:eastAsia="Arial Unicode MS"/>
          <w:sz w:val="18"/>
          <w:szCs w:val="18"/>
          <w:lang w:val="de-DE"/>
        </w:rPr>
        <w:br w:type="textWrapping"/>
      </w:r>
      <w:r>
        <w:rPr>
          <w:sz w:val="18"/>
          <w:szCs w:val="18"/>
          <w:rtl w:val="0"/>
          <w:lang w:val="de-DE"/>
        </w:rPr>
        <w:t>Mag. Klaus Kutschera, Marketing &amp; Sales Consulting OG</w:t>
      </w:r>
      <w:r>
        <w:rPr>
          <w:rFonts w:ascii="Arial Unicode MS" w:cs="Arial Unicode MS" w:hAnsi="Arial Unicode MS" w:eastAsia="Arial Unicode MS"/>
          <w:sz w:val="18"/>
          <w:szCs w:val="18"/>
          <w:lang w:val="de-DE"/>
        </w:rPr>
        <w:br w:type="textWrapping"/>
      </w:r>
      <w:r>
        <w:rPr>
          <w:sz w:val="18"/>
          <w:szCs w:val="18"/>
          <w:rtl w:val="0"/>
          <w:lang w:val="de-DE"/>
        </w:rPr>
        <w:t>Stella-Klein-L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 xml:space="preserve">w-Weg 15, Haus B, 5. </w:t>
      </w:r>
      <w:r>
        <w:rPr>
          <w:sz w:val="18"/>
          <w:szCs w:val="18"/>
          <w:rtl w:val="0"/>
          <w:lang w:val="en-US"/>
        </w:rPr>
        <w:t>Stock, A-1020 Wien</w:t>
      </w:r>
      <w:r>
        <w:rPr>
          <w:rFonts w:ascii="Arial Unicode MS" w:cs="Arial Unicode MS" w:hAnsi="Arial Unicode MS" w:eastAsia="Arial Unicode MS"/>
          <w:sz w:val="18"/>
          <w:szCs w:val="18"/>
          <w:lang w:val="en-US"/>
        </w:rPr>
        <w:br w:type="textWrapping"/>
      </w:r>
      <w:r>
        <w:rPr>
          <w:sz w:val="18"/>
          <w:szCs w:val="18"/>
          <w:rtl w:val="0"/>
          <w:lang w:val="en-US"/>
        </w:rPr>
        <w:t>M: +43 (0) 664 60600 239 I E: klaus.kutschera@iqvia.com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en-US"/>
        </w:rPr>
        <w:br w:type="textWrapping"/>
      </w:r>
      <w:r>
        <w:rPr>
          <w:rFonts w:ascii="Arial Unicode MS" w:hAnsi="Arial Unicode MS"/>
          <w:sz w:val="18"/>
          <w:szCs w:val="18"/>
          <w:rtl w:val="0"/>
          <w:lang w:val="en-US"/>
        </w:rPr>
        <w:t>www.iqvia.com</w:t>
      </w:r>
      <w:r>
        <w:rPr>
          <w:rFonts w:ascii="Arial Unicode MS" w:cs="Arial Unicode MS" w:hAnsi="Arial Unicode MS" w:eastAsia="Arial Unicode MS"/>
          <w:sz w:val="18"/>
          <w:szCs w:val="18"/>
          <w:lang w:val="en-US"/>
        </w:rPr>
        <w:br w:type="textWrapping"/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