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Calibri" w:hAnsi="Calibri"/>
          <w:sz w:val="24"/>
          <w:szCs w:val="24"/>
        </w:rPr>
      </w:pPr>
    </w:p>
    <w:p>
      <w:pPr>
        <w:pStyle w:val="Standard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Aktuelle Studie von IQVIA zeigt: </w:t>
      </w: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Bereits ein Drittel aller erstattungsf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 xml:space="preserve">higen Arzneimittel werden </w:t>
      </w:r>
    </w:p>
    <w:p>
      <w:pPr>
        <w:pStyle w:val="Standard"/>
        <w:rPr>
          <w:b w:val="1"/>
          <w:b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in 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sterreich von Patienten privat bezahlt</w:t>
      </w:r>
      <w:r>
        <w:rPr>
          <w:b w:val="1"/>
          <w:bCs w:val="1"/>
          <w:sz w:val="32"/>
          <w:szCs w:val="32"/>
          <w:rtl w:val="0"/>
          <w:lang w:val="de-DE"/>
        </w:rPr>
        <w:t xml:space="preserve"> </w:t>
      </w:r>
    </w:p>
    <w:p>
      <w:pPr>
        <w:pStyle w:val="Standard"/>
        <w:rPr>
          <w:b w:val="1"/>
          <w:bCs w:val="1"/>
          <w:sz w:val="24"/>
          <w:szCs w:val="24"/>
        </w:rPr>
      </w:pPr>
    </w:p>
    <w:p>
      <w:pPr>
        <w:pStyle w:val="Standard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Wien, im Oktober 2018</w:t>
      </w:r>
      <w:r>
        <w:rPr>
          <w:sz w:val="24"/>
          <w:szCs w:val="24"/>
          <w:rtl w:val="0"/>
          <w:lang w:val="de-DE"/>
        </w:rPr>
        <w:t xml:space="preserve"> -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Arzneimittel deren Preis unterhalb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 liegt, stehen den Gebietskrankenkassen teilweise keine Abrechnungsdaten mehr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gung. Die von IQVIA bei knapp 500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ffentlichen Apotheken erhobenen und analysierten Daten erlauben erstmals einen genauen Einblick in die Verordnungsdynamik dieser Arzneimittel und zeigen, dass im Schnitt bereits ein Drittel der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erstattungsf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higen Arzneimittel von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sterreichs Patienten privat bezahlt wird.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Bei manchen Arzneimitteln wie beispielsweise Pantoprazol-haltigen Medikamenten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gt dieser Anteil bereits 75%.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gt seit 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nner 2018 in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sterreich EUR 6,00 pro verschriebener und abgegebener Arzneimittelpackung.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 die Summe aller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hren im Jahresverlauf besonders bei multimorbiden, meist 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lteren Patienten mit niedrigem Einkommen zu einer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finanziellen Belastung werden kann, wurden in der Vergangenheit vom Gesetzgeber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glichkeiten zur Befreiung von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 geschaffen: Dies betrifft bestimmte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Personengruppen wie zum Beispiel Ausgleichszulage beziehende Pensionisten, Zivildiener und Mindestsicherungsbezieher, die automatisch von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 befreit sind. Ebenso sind Personen, deren Einkommen gesetzlich bestimmte Obergrenzen unterschreitet bzw. Patienten, die mehr als 2% ihres Einkommens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Arzneimittel ausgeben, jedoch mindestens 37-mal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 bezahlt haben, von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 befreit.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Bei allen anderen sozialversicherten Patienten, die Arzneimittel aus der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ffentlichen Apotheke beziehen deren Krankenkassenpreis inklusive Umsatzsteuer unterhalb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 liegt, werden diese Arzneimittel jedoch nicht mit den jeweiligen Krankenkassen verrechnet und daher von den Patienten privat bezahlt. Aufgrund der fehlenden Verrechnung gibt es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diese Arzneimittel keine Aufzeichnungen bei den Krankenkassen.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IQVIA-Daten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 den Status quo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 xml:space="preserve">r Juli 2018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Da seitens unterschiedlicher Akteure im Gesundheitssystem in der Vergangenheit immer wieder Interesse an diesen Daten signalisiert wurde, hat IQVIA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sterreich auf Basis der um Informationen zur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hrenbefreiung einzelner Kaufakte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erweiterten Verkaufsdaten (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Sell-out-Daten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) unserer knapp 500 Partnerapotheken den aktuellen Status-quo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Juli 2018 analysiert: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Demzufolge waren im Juli 2018 36,1% aller Arzneimittelpackungen, die auf Kassenrezept abgeben wurden, von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 befreit (22.5% aller erstattungsf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higen Arzneimittelpackungen). Dieser Anteil wird sich mit hoher Wahrscheinlichkeit im fortlaufenden Jahr 2018 erh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hen, da mit Jahresende immer mehr Patienten unter die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hrenbefreiung fallen werden.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Im selben Monat Juli lag der Preis (Krankenkassenpreis, KKP inkl. Ust.) von 41,1% aller erstattungsf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higen Produkte unter der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 (EUR 6.00) und wurde daher, falls der Patient nicht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hrenbefreit war, privat bezahlt. Zieht man davon den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hrenbefreiten Anteil ab (9,1%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hrenbefreit bei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einem Preis &lt;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hr), liegt der Anteil aller erstattungsf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higen Einheiten,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von den Patienten privat bezahlt wurden bei 32,0% (Preis &lt;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 und nicht mir der Krankenkasse verrechnet). Dies war im Monat Juli jener Anteil an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erstattungsf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higen Arzneimittelpackungen, der von den Apothekern nicht mit den Krankenkassen verrechnet wird und somit auch nicht in die Taxierung, die zur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Beurteilung einer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hrenbefreiung herangezogen wird, einflie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t. </w:t>
      </w:r>
    </w:p>
    <w:p>
      <w:pPr>
        <w:pStyle w:val="Standard"/>
        <w:ind w:left="720" w:firstLine="0"/>
        <w:rPr>
          <w:sz w:val="24"/>
          <w:szCs w:val="24"/>
        </w:rPr>
      </w:pPr>
    </w:p>
    <w:p>
      <w:pPr>
        <w:pStyle w:val="Standard"/>
        <w:ind w:left="72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Der Privatanteil h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 xml:space="preserve">ngt stark von der Wirkstoffklasse ab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Betrachtet man die abgegebenen Einheiten bei Clopidogrel, Simvastatin und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Pantoprazol-haltigen Arzneimitteln, die von sehr vielen Patienten in der Regel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einen 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ngeren Zeitraum eingenommen werden, errechnen sich bei allen drei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Wirkstoffen Anteile an rezeptgeb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hrenbefreiten Einheiten von 20 bis 25%.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Bei Pantoprazol-haltigen Arzneimitteln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gt der von den sozialversicherten </w:t>
      </w:r>
    </w:p>
    <w:p>
      <w:pPr>
        <w:pStyle w:val="Standard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Patienten privat bezahlte Anteil sogar 75,3%.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704850</wp:posOffset>
            </wp:positionH>
            <wp:positionV relativeFrom="line">
              <wp:posOffset>346709</wp:posOffset>
            </wp:positionV>
            <wp:extent cx="6116321" cy="158347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58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ind w:left="720" w:firstLine="0"/>
        <w:rPr>
          <w:sz w:val="20"/>
          <w:szCs w:val="20"/>
        </w:rPr>
      </w:pPr>
    </w:p>
    <w:p>
      <w:pPr>
        <w:pStyle w:val="Standard"/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Tabelle 1: Anteil der RG-befreiten Einheiten (RG: Rezeptgeb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hr)</w:t>
      </w:r>
    </w:p>
    <w:p>
      <w:pPr>
        <w:pStyle w:val="Standard"/>
        <w:rPr>
          <w:sz w:val="24"/>
          <w:szCs w:val="24"/>
        </w:rPr>
      </w:pPr>
    </w:p>
    <w:p>
      <w:pPr>
        <w:pStyle w:val="Standard"/>
      </w:pPr>
    </w:p>
    <w:p>
      <w:pPr>
        <w:pStyle w:val="Standard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 xml:space="preserve">Wenn Sie an Detailergebnissen zu dieser Studie interessiert sind, wenden Sie sich </w:t>
      </w:r>
    </w:p>
    <w:p>
      <w:pPr>
        <w:pStyle w:val="Standard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bitte an: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Frau Mag. Adriana Nikolic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IQVIA Marktforschung GmbH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Stella-Klein-L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w-Weg 15, Haus B, 5. Stock, A-1020 Wien</w:t>
      </w:r>
    </w:p>
    <w:p>
      <w:pPr>
        <w:pStyle w:val="Standard"/>
        <w:rPr>
          <w:rStyle w:val="Ohne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E: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"mailto:adriana.nikolic@iqvia.com"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adriana.nikolic@iqvia.com</w:t>
      </w:r>
      <w:r>
        <w:rPr/>
        <w:fldChar w:fldCharType="end" w:fldLock="0"/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rStyle w:val="Ohne"/>
          <w:b w:val="1"/>
          <w:bCs w:val="1"/>
          <w:sz w:val="24"/>
          <w:szCs w:val="24"/>
        </w:rPr>
      </w:pPr>
      <w:r>
        <w:rPr>
          <w:rStyle w:val="Ohne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Ohne"/>
          <w:b w:val="1"/>
          <w:bCs w:val="1"/>
          <w:sz w:val="24"/>
          <w:szCs w:val="24"/>
          <w:rtl w:val="0"/>
          <w:lang w:val="de-DE"/>
        </w:rPr>
        <w:t>ber IQVIA:</w:t>
      </w:r>
    </w:p>
    <w:p>
      <w:pPr>
        <w:pStyle w:val="Standard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IQVIA [sprich: aikju:via] (NYSE: IQV) ist ein fu</w:t>
      </w:r>
      <w:r>
        <w:rPr>
          <w:rStyle w:val="Ohne"/>
          <w:sz w:val="24"/>
          <w:szCs w:val="24"/>
          <w:rtl w:val="0"/>
          <w:lang w:val="de-DE"/>
        </w:rPr>
        <w:t>̈</w:t>
      </w:r>
      <w:r>
        <w:rPr>
          <w:rStyle w:val="Ohne"/>
          <w:sz w:val="24"/>
          <w:szCs w:val="24"/>
          <w:rtl w:val="0"/>
          <w:lang w:val="de-DE"/>
        </w:rPr>
        <w:t xml:space="preserve">hrender, globaler Anbieter von </w:t>
      </w:r>
    </w:p>
    <w:p>
      <w:pPr>
        <w:pStyle w:val="Standard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Informationen, innovativen Technologiel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sungen, Leihau</w:t>
      </w:r>
      <w:r>
        <w:rPr>
          <w:rStyle w:val="Ohne"/>
          <w:sz w:val="24"/>
          <w:szCs w:val="24"/>
          <w:rtl w:val="0"/>
          <w:lang w:val="de-DE"/>
        </w:rPr>
        <w:t>ß</w:t>
      </w:r>
      <w:r>
        <w:rPr>
          <w:rStyle w:val="Ohne"/>
          <w:sz w:val="24"/>
          <w:szCs w:val="24"/>
          <w:rtl w:val="0"/>
          <w:lang w:val="de-DE"/>
        </w:rPr>
        <w:t>endienst und Serviceleistungen im Bereich der Kommerzialisierung im Gesundheitswesen und der klinischen Auftrags-</w:t>
      </w:r>
    </w:p>
    <w:p>
      <w:pPr>
        <w:pStyle w:val="Standard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forschung. IQVIA entstand durch den Zusammenschluss von IMS Health und Quintiles. Das Unternehmen besch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ftigt rund 55.000 Mitarbeiter in u</w:t>
      </w:r>
      <w:r>
        <w:rPr>
          <w:rStyle w:val="Ohne"/>
          <w:sz w:val="24"/>
          <w:szCs w:val="24"/>
          <w:rtl w:val="0"/>
          <w:lang w:val="de-DE"/>
        </w:rPr>
        <w:t>̈</w:t>
      </w:r>
      <w:r>
        <w:rPr>
          <w:rStyle w:val="Ohne"/>
          <w:sz w:val="24"/>
          <w:szCs w:val="24"/>
          <w:rtl w:val="0"/>
          <w:lang w:val="de-DE"/>
        </w:rPr>
        <w:t>ber 100 L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 xml:space="preserve">ndern. </w:t>
      </w:r>
    </w:p>
    <w:p>
      <w:pPr>
        <w:pStyle w:val="Standard"/>
      </w:pPr>
      <w:r>
        <w:rPr>
          <w:rStyle w:val="Ohne"/>
          <w:sz w:val="24"/>
          <w:szCs w:val="24"/>
          <w:rtl w:val="0"/>
          <w:lang w:val="de-DE"/>
        </w:rPr>
        <w:t xml:space="preserve">Die 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sterreichische Niederlassung besch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ftigt 130 Mitarbeiter und ist in Wien angesiedelt.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